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96B82" w14:textId="77777777" w:rsidR="00CB57F4" w:rsidRPr="00E90E48" w:rsidRDefault="00CB57F4">
      <w:pPr>
        <w:pStyle w:val="Title"/>
      </w:pPr>
      <w:r w:rsidRPr="00E90E48">
        <w:t>MEDICARE AMBULATORY SURGICAL CENTER PAYMENT SYSTEM</w:t>
      </w:r>
    </w:p>
    <w:p w14:paraId="65DE53C2" w14:textId="6EAC1C66" w:rsidR="00CB57F4" w:rsidRPr="001D7BA7" w:rsidRDefault="00CB57F4">
      <w:pPr>
        <w:pStyle w:val="Subtitle"/>
        <w:rPr>
          <w:sz w:val="24"/>
          <w:u w:val="none"/>
        </w:rPr>
      </w:pPr>
      <w:r w:rsidRPr="001D7BA7">
        <w:rPr>
          <w:sz w:val="24"/>
          <w:u w:val="none"/>
        </w:rPr>
        <w:t>20</w:t>
      </w:r>
      <w:r w:rsidR="007307C2">
        <w:rPr>
          <w:sz w:val="24"/>
          <w:u w:val="none"/>
        </w:rPr>
        <w:t>2</w:t>
      </w:r>
      <w:r w:rsidR="00C65EEC">
        <w:rPr>
          <w:sz w:val="24"/>
          <w:u w:val="none"/>
        </w:rPr>
        <w:t>2</w:t>
      </w:r>
      <w:r w:rsidR="00193E57" w:rsidRPr="001D7BA7">
        <w:rPr>
          <w:sz w:val="24"/>
          <w:u w:val="none"/>
        </w:rPr>
        <w:t xml:space="preserve"> </w:t>
      </w:r>
      <w:r w:rsidR="00480ADC">
        <w:rPr>
          <w:sz w:val="24"/>
          <w:u w:val="none"/>
        </w:rPr>
        <w:t>FINAL</w:t>
      </w:r>
      <w:r w:rsidRPr="001D7BA7">
        <w:rPr>
          <w:sz w:val="24"/>
          <w:u w:val="none"/>
        </w:rPr>
        <w:t xml:space="preserve"> RULE SUMMARY</w:t>
      </w:r>
    </w:p>
    <w:p w14:paraId="1D402B4C" w14:textId="77777777" w:rsidR="001D7BA7" w:rsidRPr="00137364" w:rsidRDefault="001D7BA7">
      <w:pPr>
        <w:pStyle w:val="Subtitle"/>
      </w:pPr>
    </w:p>
    <w:p w14:paraId="41C9B2B7" w14:textId="77777777" w:rsidR="000072E2" w:rsidRDefault="000072E2" w:rsidP="007307C2">
      <w:pPr>
        <w:jc w:val="both"/>
        <w:rPr>
          <w:rFonts w:ascii="Arial" w:hAnsi="Arial" w:cs="Arial"/>
          <w:sz w:val="22"/>
        </w:rPr>
      </w:pPr>
    </w:p>
    <w:p w14:paraId="53D7165B" w14:textId="67240E19" w:rsidR="00C65EEC" w:rsidRDefault="00523570" w:rsidP="00C65EEC">
      <w:pPr>
        <w:jc w:val="both"/>
        <w:rPr>
          <w:rFonts w:ascii="Arial" w:hAnsi="Arial" w:cs="Arial"/>
          <w:sz w:val="22"/>
          <w:szCs w:val="22"/>
        </w:rPr>
      </w:pPr>
      <w:r>
        <w:rPr>
          <w:rFonts w:ascii="Arial" w:hAnsi="Arial" w:cs="Arial"/>
          <w:sz w:val="22"/>
        </w:rPr>
        <w:t>The 202</w:t>
      </w:r>
      <w:r w:rsidR="00C65EEC">
        <w:rPr>
          <w:rFonts w:ascii="Arial" w:hAnsi="Arial" w:cs="Arial"/>
          <w:sz w:val="22"/>
        </w:rPr>
        <w:t>2</w:t>
      </w:r>
      <w:r>
        <w:rPr>
          <w:rFonts w:ascii="Arial" w:hAnsi="Arial" w:cs="Arial"/>
          <w:sz w:val="22"/>
        </w:rPr>
        <w:t xml:space="preserve"> Ambulatory Surgical Center (ASC) Payment System </w:t>
      </w:r>
      <w:r w:rsidR="00480ADC">
        <w:rPr>
          <w:rFonts w:ascii="Arial" w:hAnsi="Arial" w:cs="Arial"/>
          <w:sz w:val="22"/>
        </w:rPr>
        <w:t>final</w:t>
      </w:r>
      <w:r w:rsidRPr="00E22529">
        <w:rPr>
          <w:rFonts w:ascii="Arial" w:hAnsi="Arial" w:cs="Arial"/>
          <w:sz w:val="22"/>
        </w:rPr>
        <w:t xml:space="preserve"> rule was posted to the Centers for Medicare and Medicaid Services (CMS) website on </w:t>
      </w:r>
      <w:r w:rsidR="00480ADC">
        <w:rPr>
          <w:rFonts w:ascii="Arial" w:hAnsi="Arial" w:cs="Arial"/>
          <w:sz w:val="22"/>
        </w:rPr>
        <w:t>November 2</w:t>
      </w:r>
      <w:r>
        <w:rPr>
          <w:rFonts w:ascii="Arial" w:hAnsi="Arial" w:cs="Arial"/>
          <w:sz w:val="22"/>
        </w:rPr>
        <w:t>, 202</w:t>
      </w:r>
      <w:r w:rsidR="00C65EEC">
        <w:rPr>
          <w:rFonts w:ascii="Arial" w:hAnsi="Arial" w:cs="Arial"/>
          <w:sz w:val="22"/>
        </w:rPr>
        <w:t xml:space="preserve">1. </w:t>
      </w:r>
      <w:r w:rsidR="00C65EEC" w:rsidRPr="00FD10A6">
        <w:rPr>
          <w:rFonts w:ascii="Arial" w:hAnsi="Arial" w:cs="Arial"/>
          <w:sz w:val="22"/>
          <w:szCs w:val="22"/>
        </w:rPr>
        <w:t xml:space="preserve">The </w:t>
      </w:r>
      <w:r w:rsidR="00480ADC">
        <w:rPr>
          <w:rFonts w:ascii="Arial" w:hAnsi="Arial" w:cs="Arial"/>
          <w:sz w:val="22"/>
          <w:szCs w:val="22"/>
        </w:rPr>
        <w:t>final</w:t>
      </w:r>
      <w:r w:rsidR="00C65EEC" w:rsidRPr="00FD10A6">
        <w:rPr>
          <w:rFonts w:ascii="Arial" w:hAnsi="Arial" w:cs="Arial"/>
          <w:sz w:val="22"/>
          <w:szCs w:val="22"/>
        </w:rPr>
        <w:t xml:space="preserve"> rule will be published in the </w:t>
      </w:r>
      <w:r w:rsidR="00480ADC">
        <w:rPr>
          <w:rFonts w:ascii="Arial" w:hAnsi="Arial" w:cs="Arial"/>
          <w:sz w:val="22"/>
          <w:szCs w:val="22"/>
        </w:rPr>
        <w:t>November 16</w:t>
      </w:r>
      <w:r w:rsidR="00480ADC" w:rsidRPr="00480ADC">
        <w:rPr>
          <w:rFonts w:ascii="Arial" w:hAnsi="Arial" w:cs="Arial"/>
          <w:sz w:val="22"/>
          <w:szCs w:val="22"/>
          <w:vertAlign w:val="superscript"/>
        </w:rPr>
        <w:t>th</w:t>
      </w:r>
      <w:r w:rsidR="00C65EEC" w:rsidRPr="00FD10A6">
        <w:rPr>
          <w:rFonts w:ascii="Arial" w:hAnsi="Arial" w:cs="Arial"/>
          <w:sz w:val="22"/>
          <w:szCs w:val="22"/>
        </w:rPr>
        <w:t xml:space="preserve"> </w:t>
      </w:r>
      <w:r w:rsidR="00C65EEC" w:rsidRPr="00FD10A6">
        <w:rPr>
          <w:rFonts w:ascii="Arial" w:hAnsi="Arial" w:cs="Arial"/>
          <w:i/>
          <w:sz w:val="22"/>
          <w:szCs w:val="22"/>
        </w:rPr>
        <w:t>Federal Register</w:t>
      </w:r>
      <w:r w:rsidR="00C65EEC" w:rsidRPr="00FD10A6">
        <w:rPr>
          <w:rFonts w:ascii="Arial" w:hAnsi="Arial" w:cs="Arial"/>
          <w:sz w:val="22"/>
          <w:szCs w:val="22"/>
        </w:rPr>
        <w:t>.</w:t>
      </w:r>
      <w:r w:rsidR="00C65EEC" w:rsidRPr="00FD10A6">
        <w:rPr>
          <w:rFonts w:ascii="Arial" w:hAnsi="Arial" w:cs="Arial"/>
          <w:b/>
          <w:sz w:val="22"/>
          <w:szCs w:val="22"/>
        </w:rPr>
        <w:t xml:space="preserve"> </w:t>
      </w:r>
      <w:r w:rsidR="00C65EEC" w:rsidRPr="00FD10A6">
        <w:rPr>
          <w:rFonts w:ascii="Arial" w:hAnsi="Arial" w:cs="Arial"/>
          <w:sz w:val="22"/>
          <w:szCs w:val="22"/>
        </w:rPr>
        <w:t xml:space="preserve"> </w:t>
      </w:r>
      <w:r w:rsidR="00480ADC">
        <w:rPr>
          <w:rFonts w:ascii="Arial" w:hAnsi="Arial" w:cs="Arial"/>
          <w:sz w:val="22"/>
          <w:szCs w:val="22"/>
        </w:rPr>
        <w:t>A</w:t>
      </w:r>
      <w:r w:rsidR="00C65EEC" w:rsidRPr="00FD10A6">
        <w:rPr>
          <w:rFonts w:ascii="Arial" w:hAnsi="Arial" w:cs="Arial"/>
          <w:sz w:val="22"/>
          <w:szCs w:val="22"/>
        </w:rPr>
        <w:t xml:space="preserve">ll payments and policies </w:t>
      </w:r>
      <w:r w:rsidR="00D228BB">
        <w:rPr>
          <w:rFonts w:ascii="Arial" w:hAnsi="Arial" w:cs="Arial"/>
          <w:sz w:val="22"/>
          <w:szCs w:val="22"/>
        </w:rPr>
        <w:t xml:space="preserve">are </w:t>
      </w:r>
      <w:r w:rsidR="00C65EEC" w:rsidRPr="00FD10A6">
        <w:rPr>
          <w:rFonts w:ascii="Arial" w:hAnsi="Arial" w:cs="Arial"/>
          <w:sz w:val="22"/>
          <w:szCs w:val="22"/>
        </w:rPr>
        <w:t>effective on January 1, 202</w:t>
      </w:r>
      <w:r w:rsidR="00C65EEC">
        <w:rPr>
          <w:rFonts w:ascii="Arial" w:hAnsi="Arial" w:cs="Arial"/>
          <w:sz w:val="22"/>
          <w:szCs w:val="22"/>
        </w:rPr>
        <w:t>2</w:t>
      </w:r>
      <w:r w:rsidR="00C65EEC" w:rsidRPr="00FD10A6">
        <w:rPr>
          <w:rFonts w:ascii="Arial" w:hAnsi="Arial" w:cs="Arial"/>
          <w:sz w:val="22"/>
          <w:szCs w:val="22"/>
        </w:rPr>
        <w:t xml:space="preserve">. </w:t>
      </w:r>
    </w:p>
    <w:p w14:paraId="25B21809" w14:textId="3C50D3EB" w:rsidR="00C65EEC" w:rsidRDefault="00C65EEC" w:rsidP="00C65EEC">
      <w:pPr>
        <w:jc w:val="both"/>
        <w:rPr>
          <w:rFonts w:ascii="Arial" w:hAnsi="Arial" w:cs="Arial"/>
          <w:sz w:val="22"/>
          <w:szCs w:val="22"/>
        </w:rPr>
      </w:pPr>
    </w:p>
    <w:p w14:paraId="12B3CCBD" w14:textId="77777777" w:rsidR="00C65EEC" w:rsidRDefault="00C65EEC" w:rsidP="00C65EEC">
      <w:pPr>
        <w:jc w:val="both"/>
        <w:rPr>
          <w:rFonts w:ascii="Arial" w:hAnsi="Arial" w:cs="Arial"/>
          <w:sz w:val="22"/>
        </w:rPr>
      </w:pPr>
      <w:r w:rsidRPr="00E90E48">
        <w:rPr>
          <w:rFonts w:ascii="Arial" w:hAnsi="Arial" w:cs="Arial"/>
          <w:sz w:val="22"/>
        </w:rPr>
        <w:t xml:space="preserve">The ASC payment system aligns ASC rates with the ambulatory payment classification (APC) groups that are used to pay for services in hospital outpatient departments. </w:t>
      </w:r>
      <w:r>
        <w:rPr>
          <w:rFonts w:ascii="Arial" w:hAnsi="Arial" w:cs="Arial"/>
          <w:sz w:val="22"/>
        </w:rPr>
        <w:t xml:space="preserve">Approximately </w:t>
      </w:r>
      <w:r w:rsidRPr="00AC1289">
        <w:rPr>
          <w:rFonts w:ascii="Arial" w:hAnsi="Arial" w:cs="Arial"/>
          <w:sz w:val="22"/>
        </w:rPr>
        <w:t>5,300</w:t>
      </w:r>
      <w:r>
        <w:rPr>
          <w:rFonts w:ascii="Arial" w:hAnsi="Arial" w:cs="Arial"/>
          <w:sz w:val="22"/>
        </w:rPr>
        <w:t xml:space="preserve"> ambulatory surgical centers are paid under the </w:t>
      </w:r>
      <w:r w:rsidRPr="00E90E48">
        <w:rPr>
          <w:rFonts w:ascii="Arial" w:hAnsi="Arial" w:cs="Arial"/>
          <w:sz w:val="22"/>
        </w:rPr>
        <w:t>ASC payment system</w:t>
      </w:r>
      <w:r>
        <w:rPr>
          <w:rFonts w:ascii="Arial" w:hAnsi="Arial" w:cs="Arial"/>
          <w:sz w:val="22"/>
        </w:rPr>
        <w:t>.</w:t>
      </w:r>
      <w:r w:rsidRPr="00E90E48">
        <w:rPr>
          <w:rFonts w:ascii="Arial" w:hAnsi="Arial" w:cs="Arial"/>
          <w:sz w:val="22"/>
        </w:rPr>
        <w:t xml:space="preserve"> </w:t>
      </w:r>
    </w:p>
    <w:p w14:paraId="03DEBAE0" w14:textId="77777777" w:rsidR="00C65EEC" w:rsidRPr="00FD10A6" w:rsidRDefault="00C65EEC" w:rsidP="00C65EEC">
      <w:pPr>
        <w:jc w:val="both"/>
        <w:rPr>
          <w:rFonts w:ascii="Arial" w:hAnsi="Arial" w:cs="Arial"/>
          <w:sz w:val="22"/>
          <w:szCs w:val="22"/>
        </w:rPr>
      </w:pPr>
    </w:p>
    <w:p w14:paraId="05CBEC96" w14:textId="77777777" w:rsidR="007F1FBF" w:rsidRPr="007F1FBF" w:rsidRDefault="007F1FBF" w:rsidP="00E44C88">
      <w:pPr>
        <w:jc w:val="both"/>
        <w:rPr>
          <w:rFonts w:ascii="Arial" w:hAnsi="Arial" w:cs="Arial"/>
          <w:b/>
          <w:sz w:val="22"/>
          <w:u w:val="single"/>
        </w:rPr>
      </w:pPr>
      <w:r>
        <w:rPr>
          <w:rFonts w:ascii="Arial" w:hAnsi="Arial" w:cs="Arial"/>
          <w:b/>
          <w:sz w:val="22"/>
          <w:u w:val="single"/>
        </w:rPr>
        <w:t>Updating t</w:t>
      </w:r>
      <w:r w:rsidR="007A5C04">
        <w:rPr>
          <w:rFonts w:ascii="Arial" w:hAnsi="Arial" w:cs="Arial"/>
          <w:b/>
          <w:sz w:val="22"/>
          <w:u w:val="single"/>
        </w:rPr>
        <w:t>he ASC Relative Payment Weights</w:t>
      </w:r>
    </w:p>
    <w:p w14:paraId="7B3FE971" w14:textId="77777777" w:rsidR="00F37833" w:rsidRDefault="00F37833" w:rsidP="00E44C88">
      <w:pPr>
        <w:jc w:val="both"/>
        <w:rPr>
          <w:rFonts w:ascii="Arial" w:hAnsi="Arial" w:cs="Arial"/>
          <w:sz w:val="22"/>
        </w:rPr>
      </w:pPr>
    </w:p>
    <w:p w14:paraId="5DEB81AB" w14:textId="77777777" w:rsidR="007F1FBF" w:rsidRPr="007A5C04" w:rsidRDefault="007F1FBF" w:rsidP="00CA149C">
      <w:pPr>
        <w:autoSpaceDE w:val="0"/>
        <w:autoSpaceDN w:val="0"/>
        <w:adjustRightInd w:val="0"/>
        <w:jc w:val="both"/>
        <w:rPr>
          <w:rFonts w:ascii="Arial" w:hAnsi="Arial" w:cs="Arial"/>
          <w:sz w:val="22"/>
          <w:szCs w:val="22"/>
        </w:rPr>
      </w:pPr>
      <w:r>
        <w:rPr>
          <w:rFonts w:ascii="Arial" w:eastAsia="TimesNewRoman" w:hAnsi="Arial" w:cs="Arial"/>
          <w:sz w:val="22"/>
          <w:szCs w:val="22"/>
        </w:rPr>
        <w:t>CMS</w:t>
      </w:r>
      <w:r w:rsidRPr="007F1FBF">
        <w:rPr>
          <w:rFonts w:ascii="Arial" w:eastAsia="TimesNewRoman" w:hAnsi="Arial" w:cs="Arial"/>
          <w:sz w:val="22"/>
          <w:szCs w:val="22"/>
        </w:rPr>
        <w:t xml:space="preserve"> update</w:t>
      </w:r>
      <w:r>
        <w:rPr>
          <w:rFonts w:ascii="Arial" w:eastAsia="TimesNewRoman" w:hAnsi="Arial" w:cs="Arial"/>
          <w:sz w:val="22"/>
          <w:szCs w:val="22"/>
        </w:rPr>
        <w:t>s</w:t>
      </w:r>
      <w:r w:rsidRPr="007F1FBF">
        <w:rPr>
          <w:rFonts w:ascii="Arial" w:eastAsia="TimesNewRoman" w:hAnsi="Arial" w:cs="Arial"/>
          <w:sz w:val="22"/>
          <w:szCs w:val="22"/>
        </w:rPr>
        <w:t xml:space="preserve"> the ASC relative payment weights each year using the </w:t>
      </w:r>
      <w:r w:rsidR="0089619E">
        <w:rPr>
          <w:rFonts w:ascii="Arial" w:eastAsia="TimesNewRoman" w:hAnsi="Arial" w:cs="Arial"/>
          <w:sz w:val="22"/>
          <w:szCs w:val="22"/>
        </w:rPr>
        <w:t>Hospital Outpatient Prospective Payment System (</w:t>
      </w:r>
      <w:r>
        <w:rPr>
          <w:rFonts w:ascii="Arial" w:eastAsia="TimesNewRoman" w:hAnsi="Arial" w:cs="Arial"/>
          <w:sz w:val="22"/>
          <w:szCs w:val="22"/>
        </w:rPr>
        <w:t>H</w:t>
      </w:r>
      <w:r w:rsidRPr="007F1FBF">
        <w:rPr>
          <w:rFonts w:ascii="Arial" w:eastAsia="TimesNewRoman" w:hAnsi="Arial" w:cs="Arial"/>
          <w:sz w:val="22"/>
          <w:szCs w:val="22"/>
        </w:rPr>
        <w:t>OPPS</w:t>
      </w:r>
      <w:r w:rsidR="0089619E">
        <w:rPr>
          <w:rFonts w:ascii="Arial" w:eastAsia="TimesNewRoman" w:hAnsi="Arial" w:cs="Arial"/>
          <w:sz w:val="22"/>
          <w:szCs w:val="22"/>
        </w:rPr>
        <w:t>)</w:t>
      </w:r>
      <w:r w:rsidR="00CA149C">
        <w:rPr>
          <w:rFonts w:ascii="Arial" w:eastAsia="TimesNewRoman" w:hAnsi="Arial" w:cs="Arial"/>
          <w:sz w:val="22"/>
          <w:szCs w:val="22"/>
        </w:rPr>
        <w:t xml:space="preserve"> </w:t>
      </w:r>
      <w:r w:rsidRPr="007F1FBF">
        <w:rPr>
          <w:rFonts w:ascii="Arial" w:eastAsia="TimesNewRoman" w:hAnsi="Arial" w:cs="Arial"/>
          <w:sz w:val="22"/>
          <w:szCs w:val="22"/>
        </w:rPr>
        <w:t xml:space="preserve">relative payment weights (and </w:t>
      </w:r>
      <w:r w:rsidR="0089619E">
        <w:rPr>
          <w:rFonts w:ascii="Arial" w:eastAsia="TimesNewRoman" w:hAnsi="Arial" w:cs="Arial"/>
          <w:sz w:val="22"/>
          <w:szCs w:val="22"/>
        </w:rPr>
        <w:t>Medicare Physician Fee Schedule</w:t>
      </w:r>
      <w:r w:rsidR="005E66EB">
        <w:rPr>
          <w:rFonts w:ascii="Arial" w:eastAsia="TimesNewRoman" w:hAnsi="Arial" w:cs="Arial"/>
          <w:sz w:val="22"/>
          <w:szCs w:val="22"/>
        </w:rPr>
        <w:t xml:space="preserve"> </w:t>
      </w:r>
      <w:r w:rsidRPr="007F1FBF">
        <w:rPr>
          <w:rFonts w:ascii="Arial" w:eastAsia="TimesNewRoman" w:hAnsi="Arial" w:cs="Arial"/>
          <w:sz w:val="22"/>
          <w:szCs w:val="22"/>
        </w:rPr>
        <w:t xml:space="preserve">nonfacility </w:t>
      </w:r>
      <w:r w:rsidR="00CA149C">
        <w:rPr>
          <w:rFonts w:ascii="Arial" w:eastAsia="TimesNewRoman" w:hAnsi="Arial" w:cs="Arial"/>
          <w:sz w:val="22"/>
          <w:szCs w:val="22"/>
        </w:rPr>
        <w:t>practice expense</w:t>
      </w:r>
      <w:r w:rsidRPr="007F1FBF">
        <w:rPr>
          <w:rFonts w:ascii="Arial" w:eastAsia="TimesNewRoman" w:hAnsi="Arial" w:cs="Arial"/>
          <w:sz w:val="22"/>
          <w:szCs w:val="22"/>
        </w:rPr>
        <w:t xml:space="preserve"> </w:t>
      </w:r>
      <w:r w:rsidR="0089619E">
        <w:rPr>
          <w:rFonts w:ascii="Arial" w:eastAsia="TimesNewRoman" w:hAnsi="Arial" w:cs="Arial"/>
          <w:sz w:val="22"/>
          <w:szCs w:val="22"/>
        </w:rPr>
        <w:t>relative value based</w:t>
      </w:r>
      <w:r w:rsidRPr="007F1FBF">
        <w:rPr>
          <w:rFonts w:ascii="Arial" w:eastAsia="TimesNewRoman" w:hAnsi="Arial" w:cs="Arial"/>
          <w:sz w:val="22"/>
          <w:szCs w:val="22"/>
        </w:rPr>
        <w:t xml:space="preserve"> amounts, as applicable)</w:t>
      </w:r>
      <w:r w:rsidR="00CA149C">
        <w:rPr>
          <w:rFonts w:ascii="Arial" w:eastAsia="TimesNewRoman" w:hAnsi="Arial" w:cs="Arial"/>
          <w:sz w:val="22"/>
          <w:szCs w:val="22"/>
        </w:rPr>
        <w:t xml:space="preserve"> </w:t>
      </w:r>
      <w:r w:rsidRPr="007F1FBF">
        <w:rPr>
          <w:rFonts w:ascii="Arial" w:eastAsia="TimesNewRoman" w:hAnsi="Arial" w:cs="Arial"/>
          <w:sz w:val="22"/>
          <w:szCs w:val="22"/>
        </w:rPr>
        <w:t>for that same calendar year and uniformly scale the ASC relative payment weights for</w:t>
      </w:r>
      <w:r w:rsidR="00CA149C">
        <w:rPr>
          <w:rFonts w:ascii="Arial" w:eastAsia="TimesNewRoman" w:hAnsi="Arial" w:cs="Arial"/>
          <w:sz w:val="22"/>
          <w:szCs w:val="22"/>
        </w:rPr>
        <w:t xml:space="preserve"> </w:t>
      </w:r>
      <w:r w:rsidRPr="007F1FBF">
        <w:rPr>
          <w:rFonts w:ascii="Arial" w:eastAsia="TimesNewRoman" w:hAnsi="Arial" w:cs="Arial"/>
          <w:sz w:val="22"/>
          <w:szCs w:val="22"/>
        </w:rPr>
        <w:t xml:space="preserve">each update year to make them budget neutral. </w:t>
      </w:r>
      <w:r w:rsidR="00CA149C" w:rsidRPr="007A5C04">
        <w:rPr>
          <w:rFonts w:ascii="Arial" w:eastAsia="TimesNewRoman" w:hAnsi="Arial" w:cs="Arial"/>
          <w:sz w:val="22"/>
          <w:szCs w:val="22"/>
        </w:rPr>
        <w:t xml:space="preserve">CMS </w:t>
      </w:r>
      <w:r w:rsidRPr="007A5C04">
        <w:rPr>
          <w:rFonts w:ascii="Arial" w:eastAsia="TimesNewRoman" w:hAnsi="Arial" w:cs="Arial"/>
          <w:sz w:val="22"/>
          <w:szCs w:val="22"/>
        </w:rPr>
        <w:t>base</w:t>
      </w:r>
      <w:r w:rsidR="007A5C04" w:rsidRPr="007A5C04">
        <w:rPr>
          <w:rFonts w:ascii="Arial" w:eastAsia="TimesNewRoman" w:hAnsi="Arial" w:cs="Arial"/>
          <w:sz w:val="22"/>
          <w:szCs w:val="22"/>
        </w:rPr>
        <w:t>s</w:t>
      </w:r>
      <w:r w:rsidRPr="007A5C04">
        <w:rPr>
          <w:rFonts w:ascii="Arial" w:eastAsia="TimesNewRoman" w:hAnsi="Arial" w:cs="Arial"/>
          <w:sz w:val="22"/>
          <w:szCs w:val="22"/>
        </w:rPr>
        <w:t xml:space="preserve"> the </w:t>
      </w:r>
      <w:r w:rsidR="00CA149C" w:rsidRPr="007A5C04">
        <w:rPr>
          <w:rFonts w:ascii="Arial" w:eastAsia="TimesNewRoman" w:hAnsi="Arial" w:cs="Arial"/>
          <w:sz w:val="22"/>
          <w:szCs w:val="22"/>
        </w:rPr>
        <w:t>H</w:t>
      </w:r>
      <w:r w:rsidRPr="007A5C04">
        <w:rPr>
          <w:rFonts w:ascii="Arial" w:eastAsia="TimesNewRoman" w:hAnsi="Arial" w:cs="Arial"/>
          <w:sz w:val="22"/>
          <w:szCs w:val="22"/>
        </w:rPr>
        <w:t>OPPS</w:t>
      </w:r>
      <w:r w:rsidR="00CA149C" w:rsidRPr="007A5C04">
        <w:rPr>
          <w:rFonts w:ascii="Arial" w:eastAsia="TimesNewRoman" w:hAnsi="Arial" w:cs="Arial"/>
          <w:sz w:val="22"/>
          <w:szCs w:val="22"/>
        </w:rPr>
        <w:t xml:space="preserve"> </w:t>
      </w:r>
      <w:r w:rsidRPr="007A5C04">
        <w:rPr>
          <w:rFonts w:ascii="Arial" w:eastAsia="TimesNewRoman" w:hAnsi="Arial" w:cs="Arial"/>
          <w:sz w:val="22"/>
          <w:szCs w:val="22"/>
        </w:rPr>
        <w:t xml:space="preserve">relative payment weights on geometric mean costs, </w:t>
      </w:r>
      <w:r w:rsidR="00772156" w:rsidRPr="007A5C04">
        <w:rPr>
          <w:rFonts w:ascii="Arial" w:eastAsia="TimesNewRoman" w:hAnsi="Arial" w:cs="Arial"/>
          <w:sz w:val="22"/>
          <w:szCs w:val="22"/>
        </w:rPr>
        <w:t xml:space="preserve">therefore, </w:t>
      </w:r>
      <w:r w:rsidRPr="007A5C04">
        <w:rPr>
          <w:rFonts w:ascii="Arial" w:eastAsia="TimesNewRoman" w:hAnsi="Arial" w:cs="Arial"/>
          <w:sz w:val="22"/>
          <w:szCs w:val="22"/>
        </w:rPr>
        <w:t xml:space="preserve">the ASC system </w:t>
      </w:r>
      <w:r w:rsidR="007A5C04">
        <w:rPr>
          <w:rFonts w:ascii="Arial" w:eastAsia="TimesNewRoman" w:hAnsi="Arial" w:cs="Arial"/>
          <w:sz w:val="22"/>
          <w:szCs w:val="22"/>
        </w:rPr>
        <w:t>also uses</w:t>
      </w:r>
      <w:r w:rsidRPr="007A5C04">
        <w:rPr>
          <w:rFonts w:ascii="Arial" w:eastAsia="TimesNewRoman" w:hAnsi="Arial" w:cs="Arial"/>
          <w:sz w:val="22"/>
          <w:szCs w:val="22"/>
        </w:rPr>
        <w:t xml:space="preserve"> geometric means to determine relative payment weights under the ASC</w:t>
      </w:r>
      <w:r w:rsidR="00CA149C" w:rsidRPr="007A5C04">
        <w:rPr>
          <w:rFonts w:ascii="Arial" w:eastAsia="TimesNewRoman" w:hAnsi="Arial" w:cs="Arial"/>
          <w:sz w:val="22"/>
          <w:szCs w:val="22"/>
        </w:rPr>
        <w:t xml:space="preserve"> </w:t>
      </w:r>
      <w:r w:rsidRPr="007A5C04">
        <w:rPr>
          <w:rFonts w:ascii="Arial" w:eastAsia="TimesNewRoman" w:hAnsi="Arial" w:cs="Arial"/>
          <w:sz w:val="22"/>
          <w:szCs w:val="22"/>
        </w:rPr>
        <w:t>standard ratesetting methodology.</w:t>
      </w:r>
    </w:p>
    <w:p w14:paraId="2EDA736F" w14:textId="77777777" w:rsidR="00A40E96" w:rsidRDefault="00A40E96" w:rsidP="00E44C88">
      <w:pPr>
        <w:pStyle w:val="BodyText"/>
        <w:jc w:val="both"/>
        <w:rPr>
          <w:u w:val="single"/>
        </w:rPr>
      </w:pPr>
    </w:p>
    <w:p w14:paraId="0D8B3BE6" w14:textId="77777777" w:rsidR="00F37833" w:rsidRPr="00AC1289" w:rsidRDefault="00F37833" w:rsidP="00E44C88">
      <w:pPr>
        <w:pStyle w:val="BodyText"/>
        <w:jc w:val="both"/>
        <w:rPr>
          <w:u w:val="single"/>
        </w:rPr>
      </w:pPr>
      <w:r w:rsidRPr="00285632">
        <w:rPr>
          <w:u w:val="single"/>
        </w:rPr>
        <w:t>Calculation of ASC Conversion Factor and ASC Payment Rates</w:t>
      </w:r>
    </w:p>
    <w:p w14:paraId="3185A07A" w14:textId="77777777" w:rsidR="00216C35" w:rsidRDefault="00216C35" w:rsidP="00216C35">
      <w:pPr>
        <w:shd w:val="clear" w:color="auto" w:fill="FFFFFF"/>
        <w:spacing w:before="100" w:beforeAutospacing="1" w:after="100" w:afterAutospacing="1"/>
        <w:jc w:val="both"/>
        <w:textAlignment w:val="top"/>
        <w:rPr>
          <w:rFonts w:ascii="Arial" w:hAnsi="Arial" w:cs="Arial"/>
          <w:sz w:val="22"/>
          <w:szCs w:val="22"/>
          <w:lang w:val="en"/>
        </w:rPr>
      </w:pPr>
      <w:r w:rsidRPr="00216C35">
        <w:rPr>
          <w:rFonts w:ascii="Arial" w:hAnsi="Arial" w:cs="Arial"/>
          <w:sz w:val="22"/>
          <w:szCs w:val="22"/>
          <w:lang w:val="en"/>
        </w:rPr>
        <w:t xml:space="preserve">CMS </w:t>
      </w:r>
      <w:r w:rsidR="00E6503A">
        <w:rPr>
          <w:rFonts w:ascii="Arial" w:hAnsi="Arial" w:cs="Arial"/>
          <w:sz w:val="22"/>
          <w:szCs w:val="22"/>
          <w:lang w:val="en"/>
        </w:rPr>
        <w:t>previously</w:t>
      </w:r>
      <w:r w:rsidRPr="00216C35">
        <w:rPr>
          <w:rFonts w:ascii="Arial" w:hAnsi="Arial" w:cs="Arial"/>
          <w:sz w:val="22"/>
          <w:szCs w:val="22"/>
          <w:lang w:val="en"/>
        </w:rPr>
        <w:t xml:space="preserve"> update</w:t>
      </w:r>
      <w:r w:rsidR="00A8548B">
        <w:rPr>
          <w:rFonts w:ascii="Arial" w:hAnsi="Arial" w:cs="Arial"/>
          <w:sz w:val="22"/>
          <w:szCs w:val="22"/>
          <w:lang w:val="en"/>
        </w:rPr>
        <w:t>d</w:t>
      </w:r>
      <w:r w:rsidRPr="00216C35">
        <w:rPr>
          <w:rFonts w:ascii="Arial" w:hAnsi="Arial" w:cs="Arial"/>
          <w:sz w:val="22"/>
          <w:szCs w:val="22"/>
          <w:lang w:val="en"/>
        </w:rPr>
        <w:t xml:space="preserve"> ASC payment rates annually by the percentage increase in the Consumer Price Index for all urban consumers (CPI-U). </w:t>
      </w:r>
      <w:r w:rsidR="00E6503A" w:rsidRPr="00E6503A">
        <w:rPr>
          <w:rFonts w:ascii="Arial" w:hAnsi="Arial" w:cs="Arial"/>
          <w:b/>
          <w:sz w:val="22"/>
          <w:szCs w:val="22"/>
          <w:lang w:val="en"/>
        </w:rPr>
        <w:t>CMS continues the policy to update ASC payment rates using the hospital market basket rather than the CPI-U for 2019-2023.</w:t>
      </w:r>
      <w:r w:rsidR="00E6503A" w:rsidRPr="00216C35">
        <w:rPr>
          <w:rFonts w:ascii="Arial" w:hAnsi="Arial" w:cs="Arial"/>
          <w:sz w:val="22"/>
          <w:szCs w:val="22"/>
          <w:lang w:val="en"/>
        </w:rPr>
        <w:t xml:space="preserve"> </w:t>
      </w:r>
      <w:r w:rsidRPr="00AC1289">
        <w:rPr>
          <w:rFonts w:ascii="Arial" w:hAnsi="Arial" w:cs="Arial"/>
          <w:sz w:val="22"/>
          <w:szCs w:val="22"/>
          <w:lang w:val="en"/>
        </w:rPr>
        <w:t xml:space="preserve">The Medicare statute specifies a multifactor productivity (MFP) adjustment to the ASC annual update.  </w:t>
      </w:r>
    </w:p>
    <w:p w14:paraId="7A11F7C0" w14:textId="5C0B0DF5" w:rsidR="00883D9A" w:rsidRDefault="00216C35" w:rsidP="0028234E">
      <w:pPr>
        <w:shd w:val="clear" w:color="auto" w:fill="FFFFFF"/>
        <w:spacing w:before="100" w:beforeAutospacing="1" w:after="100" w:afterAutospacing="1"/>
        <w:jc w:val="both"/>
        <w:textAlignment w:val="top"/>
        <w:rPr>
          <w:rFonts w:ascii="Arial" w:eastAsia="MS Mincho" w:hAnsi="Arial" w:cs="Arial"/>
          <w:b/>
          <w:sz w:val="22"/>
          <w:szCs w:val="22"/>
          <w:lang w:eastAsia="ja-JP"/>
        </w:rPr>
      </w:pPr>
      <w:r w:rsidRPr="00216C35">
        <w:rPr>
          <w:rFonts w:ascii="Arial" w:hAnsi="Arial" w:cs="Arial"/>
          <w:sz w:val="22"/>
          <w:szCs w:val="22"/>
          <w:lang w:val="en"/>
        </w:rPr>
        <w:t xml:space="preserve">Using the hospital market basket, </w:t>
      </w:r>
      <w:r w:rsidRPr="00216C35">
        <w:rPr>
          <w:rFonts w:ascii="Arial" w:hAnsi="Arial" w:cs="Arial"/>
          <w:b/>
          <w:sz w:val="22"/>
          <w:szCs w:val="22"/>
          <w:lang w:val="en"/>
        </w:rPr>
        <w:t>CMS update</w:t>
      </w:r>
      <w:r w:rsidR="007C0068">
        <w:rPr>
          <w:rFonts w:ascii="Arial" w:hAnsi="Arial" w:cs="Arial"/>
          <w:b/>
          <w:sz w:val="22"/>
          <w:szCs w:val="22"/>
          <w:lang w:val="en"/>
        </w:rPr>
        <w:t>s</w:t>
      </w:r>
      <w:r w:rsidRPr="00216C35">
        <w:rPr>
          <w:rFonts w:ascii="Arial" w:hAnsi="Arial" w:cs="Arial"/>
          <w:b/>
          <w:sz w:val="22"/>
          <w:szCs w:val="22"/>
          <w:lang w:val="en"/>
        </w:rPr>
        <w:t xml:space="preserve"> </w:t>
      </w:r>
      <w:r w:rsidR="00250174">
        <w:rPr>
          <w:rFonts w:ascii="Arial" w:hAnsi="Arial" w:cs="Arial"/>
          <w:b/>
          <w:sz w:val="22"/>
          <w:szCs w:val="22"/>
          <w:lang w:val="en"/>
        </w:rPr>
        <w:t xml:space="preserve">2022 </w:t>
      </w:r>
      <w:r w:rsidRPr="00216C35">
        <w:rPr>
          <w:rFonts w:ascii="Arial" w:hAnsi="Arial" w:cs="Arial"/>
          <w:b/>
          <w:sz w:val="22"/>
          <w:szCs w:val="22"/>
          <w:lang w:val="en"/>
        </w:rPr>
        <w:t>ASC rates by 2.</w:t>
      </w:r>
      <w:r w:rsidR="00480ADC">
        <w:rPr>
          <w:rFonts w:ascii="Arial" w:hAnsi="Arial" w:cs="Arial"/>
          <w:b/>
          <w:sz w:val="22"/>
          <w:szCs w:val="22"/>
          <w:lang w:val="en"/>
        </w:rPr>
        <w:t>0</w:t>
      </w:r>
      <w:r w:rsidRPr="00216C35">
        <w:rPr>
          <w:rFonts w:ascii="Arial" w:hAnsi="Arial" w:cs="Arial"/>
          <w:b/>
          <w:sz w:val="22"/>
          <w:szCs w:val="22"/>
          <w:lang w:val="en"/>
        </w:rPr>
        <w:t xml:space="preserve"> percent.</w:t>
      </w:r>
      <w:r w:rsidRPr="00216C35">
        <w:rPr>
          <w:rFonts w:ascii="Arial" w:hAnsi="Arial" w:cs="Arial"/>
          <w:sz w:val="22"/>
          <w:szCs w:val="22"/>
          <w:lang w:val="en"/>
        </w:rPr>
        <w:t xml:space="preserve"> The change is based on the hospital market basket increase of </w:t>
      </w:r>
      <w:r w:rsidR="00F91AAC">
        <w:rPr>
          <w:rFonts w:ascii="Arial" w:hAnsi="Arial" w:cs="Arial"/>
          <w:sz w:val="22"/>
          <w:szCs w:val="22"/>
          <w:lang w:val="en"/>
        </w:rPr>
        <w:t>2.</w:t>
      </w:r>
      <w:r w:rsidR="00480ADC">
        <w:rPr>
          <w:rFonts w:ascii="Arial" w:hAnsi="Arial" w:cs="Arial"/>
          <w:sz w:val="22"/>
          <w:szCs w:val="22"/>
          <w:lang w:val="en"/>
        </w:rPr>
        <w:t>7</w:t>
      </w:r>
      <w:r w:rsidRPr="00216C35">
        <w:rPr>
          <w:rFonts w:ascii="Arial" w:hAnsi="Arial" w:cs="Arial"/>
          <w:sz w:val="22"/>
          <w:szCs w:val="22"/>
          <w:lang w:val="en"/>
        </w:rPr>
        <w:t xml:space="preserve"> percent minus a 0.</w:t>
      </w:r>
      <w:r w:rsidR="00D228BB">
        <w:rPr>
          <w:rFonts w:ascii="Arial" w:hAnsi="Arial" w:cs="Arial"/>
          <w:sz w:val="22"/>
          <w:szCs w:val="22"/>
          <w:lang w:val="en"/>
        </w:rPr>
        <w:t>7</w:t>
      </w:r>
      <w:r w:rsidRPr="00216C35">
        <w:rPr>
          <w:rFonts w:ascii="Arial" w:hAnsi="Arial" w:cs="Arial"/>
          <w:sz w:val="22"/>
          <w:szCs w:val="22"/>
          <w:lang w:val="en"/>
        </w:rPr>
        <w:t xml:space="preserve"> percentage point adjustment for multi-factor productivity. </w:t>
      </w:r>
    </w:p>
    <w:p w14:paraId="4D3D3220" w14:textId="3BF4362D" w:rsidR="006909CC" w:rsidRDefault="00E31D08" w:rsidP="006909CC">
      <w:pPr>
        <w:autoSpaceDE w:val="0"/>
        <w:autoSpaceDN w:val="0"/>
        <w:adjustRightInd w:val="0"/>
        <w:jc w:val="both"/>
        <w:rPr>
          <w:rFonts w:ascii="Arial" w:eastAsia="MS Mincho" w:hAnsi="Arial" w:cs="Arial"/>
          <w:b/>
          <w:sz w:val="22"/>
          <w:szCs w:val="22"/>
          <w:lang w:eastAsia="ja-JP"/>
        </w:rPr>
      </w:pPr>
      <w:r w:rsidRPr="004B5B76">
        <w:rPr>
          <w:rFonts w:ascii="Arial" w:eastAsia="MS Mincho" w:hAnsi="Arial" w:cs="Arial"/>
          <w:b/>
          <w:sz w:val="22"/>
          <w:szCs w:val="22"/>
          <w:lang w:eastAsia="ja-JP"/>
        </w:rPr>
        <w:t xml:space="preserve">The </w:t>
      </w:r>
      <w:r w:rsidR="00730735" w:rsidRPr="004B5B76">
        <w:rPr>
          <w:rFonts w:ascii="Arial" w:eastAsia="MS Mincho" w:hAnsi="Arial" w:cs="Arial"/>
          <w:b/>
          <w:sz w:val="22"/>
          <w:szCs w:val="22"/>
          <w:lang w:eastAsia="ja-JP"/>
        </w:rPr>
        <w:t>20</w:t>
      </w:r>
      <w:r w:rsidR="0028234E" w:rsidRPr="004B5B76">
        <w:rPr>
          <w:rFonts w:ascii="Arial" w:eastAsia="MS Mincho" w:hAnsi="Arial" w:cs="Arial"/>
          <w:b/>
          <w:sz w:val="22"/>
          <w:szCs w:val="22"/>
          <w:lang w:eastAsia="ja-JP"/>
        </w:rPr>
        <w:t>2</w:t>
      </w:r>
      <w:r w:rsidR="00C65EEC">
        <w:rPr>
          <w:rFonts w:ascii="Arial" w:eastAsia="MS Mincho" w:hAnsi="Arial" w:cs="Arial"/>
          <w:b/>
          <w:sz w:val="22"/>
          <w:szCs w:val="22"/>
          <w:lang w:eastAsia="ja-JP"/>
        </w:rPr>
        <w:t>2</w:t>
      </w:r>
      <w:r w:rsidRPr="004B5B76">
        <w:rPr>
          <w:rFonts w:ascii="Arial" w:eastAsia="MS Mincho" w:hAnsi="Arial" w:cs="Arial"/>
          <w:b/>
          <w:sz w:val="22"/>
          <w:szCs w:val="22"/>
          <w:lang w:eastAsia="ja-JP"/>
        </w:rPr>
        <w:t xml:space="preserve"> ASC conversion factor </w:t>
      </w:r>
      <w:r w:rsidR="005A52C9" w:rsidRPr="004B5B76">
        <w:rPr>
          <w:rFonts w:ascii="Arial" w:eastAsia="MS Mincho" w:hAnsi="Arial" w:cs="Arial"/>
          <w:b/>
          <w:sz w:val="22"/>
          <w:szCs w:val="22"/>
          <w:lang w:eastAsia="ja-JP"/>
        </w:rPr>
        <w:t>is</w:t>
      </w:r>
      <w:r w:rsidRPr="004B5B76">
        <w:rPr>
          <w:rFonts w:ascii="Arial" w:eastAsia="MS Mincho" w:hAnsi="Arial" w:cs="Arial"/>
          <w:b/>
          <w:sz w:val="22"/>
          <w:szCs w:val="22"/>
          <w:lang w:eastAsia="ja-JP"/>
        </w:rPr>
        <w:t xml:space="preserve"> </w:t>
      </w:r>
      <w:r w:rsidRPr="002D1CC8">
        <w:rPr>
          <w:rFonts w:ascii="Arial" w:eastAsia="MS Mincho" w:hAnsi="Arial" w:cs="Arial"/>
          <w:b/>
          <w:sz w:val="22"/>
          <w:szCs w:val="22"/>
          <w:lang w:eastAsia="ja-JP"/>
        </w:rPr>
        <w:t>$</w:t>
      </w:r>
      <w:r w:rsidR="002D1CC8" w:rsidRPr="002D1CC8">
        <w:rPr>
          <w:rFonts w:ascii="Arial" w:eastAsia="MS Mincho" w:hAnsi="Arial" w:cs="Arial"/>
          <w:b/>
          <w:sz w:val="22"/>
          <w:szCs w:val="22"/>
          <w:lang w:eastAsia="ja-JP"/>
        </w:rPr>
        <w:t>49.916</w:t>
      </w:r>
      <w:r w:rsidR="005A52C9" w:rsidRPr="004B5B76">
        <w:rPr>
          <w:rFonts w:ascii="Arial" w:eastAsia="MS Mincho" w:hAnsi="Arial" w:cs="Arial"/>
          <w:b/>
          <w:sz w:val="22"/>
          <w:szCs w:val="22"/>
          <w:lang w:eastAsia="ja-JP"/>
        </w:rPr>
        <w:t xml:space="preserve"> for ASCs meeting the quality reporting requirements</w:t>
      </w:r>
      <w:r w:rsidR="00503101" w:rsidRPr="004B5B76">
        <w:rPr>
          <w:rFonts w:ascii="Arial" w:eastAsia="MS Mincho" w:hAnsi="Arial" w:cs="Arial"/>
          <w:b/>
          <w:sz w:val="22"/>
          <w:szCs w:val="22"/>
          <w:lang w:eastAsia="ja-JP"/>
        </w:rPr>
        <w:t>.</w:t>
      </w:r>
      <w:r w:rsidR="00A8548B" w:rsidRPr="004B5B76">
        <w:rPr>
          <w:rFonts w:ascii="Arial" w:eastAsia="MS Mincho" w:hAnsi="Arial" w:cs="Arial"/>
          <w:b/>
          <w:sz w:val="22"/>
          <w:szCs w:val="22"/>
          <w:lang w:eastAsia="ja-JP"/>
        </w:rPr>
        <w:t xml:space="preserve"> </w:t>
      </w:r>
      <w:r w:rsidR="005A52C9" w:rsidRPr="004B5B76">
        <w:rPr>
          <w:rFonts w:ascii="Arial" w:eastAsia="MS Mincho" w:hAnsi="Arial" w:cs="Arial"/>
          <w:b/>
          <w:sz w:val="22"/>
          <w:szCs w:val="22"/>
          <w:lang w:eastAsia="ja-JP"/>
        </w:rPr>
        <w:t xml:space="preserve">For ASCs </w:t>
      </w:r>
      <w:r w:rsidR="005A52C9" w:rsidRPr="004B5B76">
        <w:rPr>
          <w:rFonts w:ascii="Arial" w:eastAsia="MS Mincho" w:hAnsi="Arial" w:cs="Arial"/>
          <w:b/>
          <w:sz w:val="22"/>
          <w:szCs w:val="22"/>
          <w:u w:val="single"/>
          <w:lang w:eastAsia="ja-JP"/>
        </w:rPr>
        <w:t>not</w:t>
      </w:r>
      <w:r w:rsidR="005A52C9" w:rsidRPr="004B5B76">
        <w:rPr>
          <w:rFonts w:ascii="Arial" w:eastAsia="MS Mincho" w:hAnsi="Arial" w:cs="Arial"/>
          <w:b/>
          <w:sz w:val="22"/>
          <w:szCs w:val="22"/>
          <w:lang w:eastAsia="ja-JP"/>
        </w:rPr>
        <w:t xml:space="preserve"> meeting the quality reporting requirements,</w:t>
      </w:r>
      <w:r w:rsidR="005A52C9" w:rsidRPr="004B5B76">
        <w:rPr>
          <w:rFonts w:ascii="Arial" w:eastAsia="MS Mincho" w:hAnsi="Arial" w:cs="Arial"/>
          <w:sz w:val="22"/>
          <w:szCs w:val="22"/>
          <w:lang w:eastAsia="ja-JP"/>
        </w:rPr>
        <w:t xml:space="preserve"> </w:t>
      </w:r>
      <w:r w:rsidR="00503101" w:rsidRPr="004B5B76">
        <w:rPr>
          <w:rFonts w:ascii="Arial" w:eastAsia="MS Mincho" w:hAnsi="Arial" w:cs="Arial"/>
          <w:b/>
          <w:sz w:val="22"/>
          <w:szCs w:val="22"/>
          <w:lang w:eastAsia="ja-JP"/>
        </w:rPr>
        <w:t>the</w:t>
      </w:r>
      <w:r w:rsidR="00BB20C2">
        <w:rPr>
          <w:rFonts w:ascii="Arial" w:eastAsia="MS Mincho" w:hAnsi="Arial" w:cs="Arial"/>
          <w:b/>
          <w:sz w:val="22"/>
          <w:szCs w:val="22"/>
          <w:lang w:eastAsia="ja-JP"/>
        </w:rPr>
        <w:t xml:space="preserve"> 2</w:t>
      </w:r>
      <w:r w:rsidR="005A52C9" w:rsidRPr="004B5B76">
        <w:rPr>
          <w:rFonts w:ascii="Arial" w:eastAsia="MS Mincho" w:hAnsi="Arial" w:cs="Arial"/>
          <w:b/>
          <w:sz w:val="22"/>
          <w:szCs w:val="22"/>
          <w:lang w:eastAsia="ja-JP"/>
        </w:rPr>
        <w:t>0</w:t>
      </w:r>
      <w:r w:rsidR="0028234E" w:rsidRPr="004B5B76">
        <w:rPr>
          <w:rFonts w:ascii="Arial" w:eastAsia="MS Mincho" w:hAnsi="Arial" w:cs="Arial"/>
          <w:b/>
          <w:sz w:val="22"/>
          <w:szCs w:val="22"/>
          <w:lang w:eastAsia="ja-JP"/>
        </w:rPr>
        <w:t>2</w:t>
      </w:r>
      <w:r w:rsidR="00C65EEC">
        <w:rPr>
          <w:rFonts w:ascii="Arial" w:eastAsia="MS Mincho" w:hAnsi="Arial" w:cs="Arial"/>
          <w:b/>
          <w:sz w:val="22"/>
          <w:szCs w:val="22"/>
          <w:lang w:eastAsia="ja-JP"/>
        </w:rPr>
        <w:t>2</w:t>
      </w:r>
      <w:r w:rsidR="005A52C9" w:rsidRPr="004B5B76">
        <w:rPr>
          <w:rFonts w:ascii="Arial" w:eastAsia="MS Mincho" w:hAnsi="Arial" w:cs="Arial"/>
          <w:b/>
          <w:sz w:val="22"/>
          <w:szCs w:val="22"/>
          <w:lang w:eastAsia="ja-JP"/>
        </w:rPr>
        <w:t xml:space="preserve"> ASC conversion factor </w:t>
      </w:r>
      <w:r w:rsidR="00224F3F" w:rsidRPr="004B5B76">
        <w:rPr>
          <w:rFonts w:ascii="Arial" w:eastAsia="MS Mincho" w:hAnsi="Arial" w:cs="Arial"/>
          <w:b/>
          <w:sz w:val="22"/>
          <w:szCs w:val="22"/>
          <w:lang w:eastAsia="ja-JP"/>
        </w:rPr>
        <w:t xml:space="preserve">is </w:t>
      </w:r>
      <w:r w:rsidR="00224F3F" w:rsidRPr="002D1CC8">
        <w:rPr>
          <w:rFonts w:ascii="Arial" w:eastAsia="MS Mincho" w:hAnsi="Arial" w:cs="Arial"/>
          <w:b/>
          <w:sz w:val="22"/>
          <w:szCs w:val="22"/>
          <w:lang w:eastAsia="ja-JP"/>
        </w:rPr>
        <w:t>$</w:t>
      </w:r>
      <w:r w:rsidR="002D1CC8" w:rsidRPr="002D1CC8">
        <w:rPr>
          <w:rFonts w:ascii="Arial" w:eastAsia="MS Mincho" w:hAnsi="Arial" w:cs="Arial"/>
          <w:b/>
          <w:sz w:val="22"/>
          <w:szCs w:val="22"/>
          <w:lang w:eastAsia="ja-JP"/>
        </w:rPr>
        <w:t>48.</w:t>
      </w:r>
      <w:r w:rsidR="002D1CC8">
        <w:rPr>
          <w:rFonts w:ascii="Arial" w:eastAsia="MS Mincho" w:hAnsi="Arial" w:cs="Arial"/>
          <w:b/>
          <w:sz w:val="22"/>
          <w:szCs w:val="22"/>
          <w:lang w:eastAsia="ja-JP"/>
        </w:rPr>
        <w:t>937</w:t>
      </w:r>
      <w:r w:rsidR="005A52C9" w:rsidRPr="004B5B76">
        <w:rPr>
          <w:rFonts w:ascii="Arial" w:eastAsia="MS Mincho" w:hAnsi="Arial" w:cs="Arial"/>
          <w:b/>
          <w:sz w:val="22"/>
          <w:szCs w:val="22"/>
          <w:lang w:eastAsia="ja-JP"/>
        </w:rPr>
        <w:t>.</w:t>
      </w:r>
    </w:p>
    <w:p w14:paraId="7E1E2740" w14:textId="2CA15DA6" w:rsidR="00045984" w:rsidRDefault="00045984">
      <w:pPr>
        <w:rPr>
          <w:rFonts w:ascii="Arial" w:hAnsi="Arial" w:cs="Arial"/>
          <w:b/>
          <w:bCs/>
          <w:sz w:val="22"/>
          <w:szCs w:val="22"/>
          <w:u w:val="single"/>
        </w:rPr>
      </w:pPr>
    </w:p>
    <w:p w14:paraId="18039297" w14:textId="1D8478E2" w:rsidR="00CB57F4" w:rsidRPr="006909CC" w:rsidRDefault="00CB57F4" w:rsidP="006909CC">
      <w:pPr>
        <w:autoSpaceDE w:val="0"/>
        <w:autoSpaceDN w:val="0"/>
        <w:adjustRightInd w:val="0"/>
        <w:jc w:val="both"/>
        <w:rPr>
          <w:rFonts w:ascii="Arial" w:hAnsi="Arial" w:cs="Arial"/>
          <w:b/>
          <w:bCs/>
          <w:sz w:val="22"/>
          <w:szCs w:val="22"/>
          <w:u w:val="single"/>
        </w:rPr>
      </w:pPr>
      <w:r w:rsidRPr="006909CC">
        <w:rPr>
          <w:rFonts w:ascii="Arial" w:hAnsi="Arial" w:cs="Arial"/>
          <w:b/>
          <w:bCs/>
          <w:sz w:val="22"/>
          <w:szCs w:val="22"/>
          <w:u w:val="single"/>
        </w:rPr>
        <w:t>Covered Surgical Procedures</w:t>
      </w:r>
    </w:p>
    <w:p w14:paraId="5C1B7149" w14:textId="77777777" w:rsidR="00CB57F4" w:rsidRPr="00E90E48" w:rsidRDefault="00CB57F4" w:rsidP="00E44C88">
      <w:pPr>
        <w:pStyle w:val="BodyText2"/>
        <w:jc w:val="both"/>
      </w:pPr>
    </w:p>
    <w:p w14:paraId="23D5F3D5" w14:textId="77777777" w:rsidR="00CB57F4" w:rsidRPr="00E90E48" w:rsidRDefault="00CB57F4" w:rsidP="00E44C88">
      <w:pPr>
        <w:pStyle w:val="BodyText2"/>
        <w:jc w:val="both"/>
      </w:pPr>
      <w:r w:rsidRPr="00E90E48">
        <w:t>A. Background</w:t>
      </w:r>
    </w:p>
    <w:p w14:paraId="61F804F3" w14:textId="77777777" w:rsidR="00CB57F4" w:rsidRPr="00E90E48" w:rsidRDefault="00CB57F4" w:rsidP="00E44C88">
      <w:pPr>
        <w:pStyle w:val="BodyText2"/>
        <w:jc w:val="both"/>
      </w:pPr>
    </w:p>
    <w:p w14:paraId="7E8CF4FD" w14:textId="15077B95" w:rsidR="00725BED" w:rsidRDefault="00725BED" w:rsidP="00725BED">
      <w:pPr>
        <w:pStyle w:val="BodyText2"/>
        <w:jc w:val="both"/>
      </w:pPr>
      <w:r w:rsidRPr="00725BED">
        <w:rPr>
          <w:szCs w:val="22"/>
        </w:rPr>
        <w:t xml:space="preserve">The 2007 ASC final rule established policies for determining which procedures are ASC covered surgical procedures and covered ancillary services. Covered surgical procedures are surgical procedures that are separately paid under the </w:t>
      </w:r>
      <w:r w:rsidR="000F3794">
        <w:rPr>
          <w:szCs w:val="22"/>
        </w:rPr>
        <w:t>HOPPS</w:t>
      </w:r>
      <w:r w:rsidRPr="00725BED">
        <w:rPr>
          <w:szCs w:val="22"/>
        </w:rPr>
        <w:t xml:space="preserve"> that would not be expected to pose a significant risk to beneficiary safety when performed in an ASC, and that would not be expected to require an overnight stay.</w:t>
      </w:r>
      <w:r>
        <w:rPr>
          <w:szCs w:val="22"/>
        </w:rPr>
        <w:t xml:space="preserve"> </w:t>
      </w:r>
      <w:r w:rsidRPr="00E90E48">
        <w:t>CMS define</w:t>
      </w:r>
      <w:r>
        <w:t>d</w:t>
      </w:r>
      <w:r w:rsidRPr="00E90E48">
        <w:t xml:space="preserve"> surgical procedures as those procedures described by Category I CPT codes in the surgical range of 10000 through 69999, as well as those Category III CPT codes and Level II HCPCS codes that crosswalk or are clinically similar to ASC covered surgical procedures.  </w:t>
      </w:r>
    </w:p>
    <w:p w14:paraId="6979A681" w14:textId="22AFF2D3" w:rsidR="00725BED" w:rsidRPr="00673ADF" w:rsidRDefault="00725BED" w:rsidP="00725BED">
      <w:pPr>
        <w:shd w:val="clear" w:color="auto" w:fill="FFFFFF"/>
        <w:spacing w:before="100" w:beforeAutospacing="1" w:after="100" w:afterAutospacing="1"/>
        <w:jc w:val="both"/>
        <w:textAlignment w:val="top"/>
        <w:rPr>
          <w:rFonts w:ascii="Arial" w:hAnsi="Arial" w:cs="Arial"/>
          <w:i/>
          <w:sz w:val="22"/>
          <w:szCs w:val="22"/>
          <w:lang w:val="en"/>
        </w:rPr>
      </w:pPr>
      <w:r>
        <w:rPr>
          <w:rFonts w:ascii="Arial" w:hAnsi="Arial" w:cs="Arial"/>
          <w:sz w:val="22"/>
          <w:szCs w:val="22"/>
          <w:lang w:val="en"/>
        </w:rPr>
        <w:lastRenderedPageBreak/>
        <w:t>Beginning in</w:t>
      </w:r>
      <w:r w:rsidRPr="00673ADF">
        <w:rPr>
          <w:rFonts w:ascii="Arial" w:hAnsi="Arial" w:cs="Arial"/>
          <w:sz w:val="22"/>
          <w:szCs w:val="22"/>
          <w:lang w:val="en"/>
        </w:rPr>
        <w:t xml:space="preserve"> 2019</w:t>
      </w:r>
      <w:r>
        <w:rPr>
          <w:rFonts w:ascii="Arial" w:hAnsi="Arial" w:cs="Arial"/>
          <w:sz w:val="22"/>
          <w:szCs w:val="22"/>
          <w:lang w:val="en"/>
        </w:rPr>
        <w:t xml:space="preserve"> and subsequent years</w:t>
      </w:r>
      <w:r w:rsidRPr="00673ADF">
        <w:rPr>
          <w:rFonts w:ascii="Arial" w:hAnsi="Arial" w:cs="Arial"/>
          <w:sz w:val="22"/>
          <w:szCs w:val="22"/>
          <w:lang w:val="en"/>
        </w:rPr>
        <w:t xml:space="preserve">, </w:t>
      </w:r>
      <w:r w:rsidRPr="00D14D25">
        <w:rPr>
          <w:rFonts w:ascii="Arial" w:hAnsi="Arial" w:cs="Arial"/>
          <w:bCs/>
          <w:sz w:val="22"/>
          <w:szCs w:val="22"/>
          <w:lang w:val="en"/>
        </w:rPr>
        <w:t>CMS finalized the policy to allow certain “surgery-like” CPT codes outside of the surgical code range that directly crosswalk or are clinically similar to procedures within the CPT surgical code range (CPT 10000 through 69999) to be included on the ASC C</w:t>
      </w:r>
      <w:r>
        <w:rPr>
          <w:rFonts w:ascii="Arial" w:hAnsi="Arial" w:cs="Arial"/>
          <w:bCs/>
          <w:sz w:val="22"/>
          <w:szCs w:val="22"/>
          <w:lang w:val="en"/>
        </w:rPr>
        <w:t xml:space="preserve">overed </w:t>
      </w:r>
      <w:r w:rsidRPr="00D14D25">
        <w:rPr>
          <w:rFonts w:ascii="Arial" w:hAnsi="Arial" w:cs="Arial"/>
          <w:bCs/>
          <w:sz w:val="22"/>
          <w:szCs w:val="22"/>
          <w:lang w:val="en"/>
        </w:rPr>
        <w:t>P</w:t>
      </w:r>
      <w:r>
        <w:rPr>
          <w:rFonts w:ascii="Arial" w:hAnsi="Arial" w:cs="Arial"/>
          <w:bCs/>
          <w:sz w:val="22"/>
          <w:szCs w:val="22"/>
          <w:lang w:val="en"/>
        </w:rPr>
        <w:t>rocedures List</w:t>
      </w:r>
      <w:r w:rsidRPr="00D14D25">
        <w:rPr>
          <w:rFonts w:ascii="Arial" w:hAnsi="Arial" w:cs="Arial"/>
          <w:bCs/>
          <w:sz w:val="22"/>
          <w:szCs w:val="22"/>
          <w:lang w:val="en"/>
        </w:rPr>
        <w:t xml:space="preserve">. </w:t>
      </w:r>
      <w:r w:rsidRPr="00673ADF">
        <w:rPr>
          <w:rFonts w:ascii="Arial" w:hAnsi="Arial" w:cs="Arial"/>
          <w:sz w:val="22"/>
          <w:szCs w:val="22"/>
          <w:lang w:val="en"/>
        </w:rPr>
        <w:t xml:space="preserve">These Category I codes would be limited to those that CMS has determined do not pose a significant safety risk, would not be expected to require an overnight stay when performed in an ASC, and are separately paid under the HOPPS. </w:t>
      </w:r>
    </w:p>
    <w:p w14:paraId="7BCED506" w14:textId="77777777" w:rsidR="00CB57F4" w:rsidRDefault="00CB57F4" w:rsidP="00E44C88">
      <w:pPr>
        <w:pStyle w:val="BodyText2"/>
        <w:jc w:val="both"/>
      </w:pPr>
      <w:r w:rsidRPr="00E90E48">
        <w:t xml:space="preserve">CMS provides payment under the ASC payment system for surgical procedures that are currently performed predominantly in physicians’ offices and that may be safely performed in ASCs, without requiring an overnight stay.   Under the ASC payment system, office-based surgical payments are limited to the </w:t>
      </w:r>
      <w:r w:rsidRPr="00E90E48">
        <w:rPr>
          <w:u w:val="single"/>
        </w:rPr>
        <w:t>lesser</w:t>
      </w:r>
      <w:r w:rsidRPr="00E90E48">
        <w:t xml:space="preserve"> of the Medicare Physician Fee Schedule (MPFS) nonfacility practice expense payment or the ASC </w:t>
      </w:r>
      <w:r w:rsidR="00C001DC" w:rsidRPr="00E90E48">
        <w:t xml:space="preserve">payment </w:t>
      </w:r>
      <w:r w:rsidRPr="00E90E48">
        <w:t xml:space="preserve">rate. </w:t>
      </w:r>
    </w:p>
    <w:p w14:paraId="48CF4CA0" w14:textId="77777777" w:rsidR="00216C35" w:rsidRDefault="00216C35" w:rsidP="00E44C88">
      <w:pPr>
        <w:pStyle w:val="BodyText2"/>
        <w:jc w:val="both"/>
      </w:pPr>
    </w:p>
    <w:p w14:paraId="74E88898" w14:textId="2DCC2910" w:rsidR="00CB57F4" w:rsidRPr="00FF3410" w:rsidRDefault="00725BED" w:rsidP="00E44C88">
      <w:pPr>
        <w:pStyle w:val="BodyText2"/>
        <w:jc w:val="both"/>
      </w:pPr>
      <w:r w:rsidRPr="00ED4F73">
        <w:t>B</w:t>
      </w:r>
      <w:r w:rsidR="00CB57F4" w:rsidRPr="00ED4F73">
        <w:t>. Additions to the List of ASC Covered Surgical Procedures</w:t>
      </w:r>
    </w:p>
    <w:p w14:paraId="17CD37BE" w14:textId="77777777" w:rsidR="00CB57F4" w:rsidRPr="00FF3410" w:rsidRDefault="00CB57F4" w:rsidP="00E44C88">
      <w:pPr>
        <w:pStyle w:val="BodyText2"/>
        <w:jc w:val="both"/>
      </w:pPr>
    </w:p>
    <w:p w14:paraId="4D018E0D" w14:textId="2DBAB932" w:rsidR="00C634E5" w:rsidRDefault="00C634E5" w:rsidP="0073187C">
      <w:pPr>
        <w:pStyle w:val="BodyText2"/>
        <w:jc w:val="both"/>
      </w:pPr>
      <w:r>
        <w:t xml:space="preserve">In the 2021 HOPPS/ASC </w:t>
      </w:r>
      <w:r w:rsidR="00FC0CA7">
        <w:t>f</w:t>
      </w:r>
      <w:r>
        <w:t xml:space="preserve">inal </w:t>
      </w:r>
      <w:r w:rsidR="00FC0CA7">
        <w:t>r</w:t>
      </w:r>
      <w:r>
        <w:t xml:space="preserve">ule, CMS significantly revised their policy for adding surgical procedures to the ASC </w:t>
      </w:r>
      <w:r w:rsidR="00250174" w:rsidRPr="00D14D25">
        <w:rPr>
          <w:bCs/>
          <w:szCs w:val="22"/>
          <w:lang w:val="en"/>
        </w:rPr>
        <w:t>C</w:t>
      </w:r>
      <w:r w:rsidR="00250174">
        <w:rPr>
          <w:bCs/>
          <w:szCs w:val="22"/>
          <w:lang w:val="en"/>
        </w:rPr>
        <w:t xml:space="preserve">overed </w:t>
      </w:r>
      <w:r w:rsidR="00250174" w:rsidRPr="00D14D25">
        <w:rPr>
          <w:bCs/>
          <w:szCs w:val="22"/>
          <w:lang w:val="en"/>
        </w:rPr>
        <w:t>P</w:t>
      </w:r>
      <w:r w:rsidR="00250174">
        <w:rPr>
          <w:bCs/>
          <w:szCs w:val="22"/>
          <w:lang w:val="en"/>
        </w:rPr>
        <w:t>rocedures List (</w:t>
      </w:r>
      <w:r>
        <w:t>CPL</w:t>
      </w:r>
      <w:r w:rsidR="00250174">
        <w:t>)</w:t>
      </w:r>
      <w:r>
        <w:t>. Since the 2021 HOPPS/ASC final rule was published, CMS has reexamined the ASC CPL policy and the public comments received in response to the 2021 HOPPS/ASC proposed rule, considered the concerns they received from stakeholders</w:t>
      </w:r>
      <w:r w:rsidR="00131D23">
        <w:t>,</w:t>
      </w:r>
      <w:r>
        <w:t xml:space="preserve"> and conducted an internal clinical review of the 267 procedures they added to the ASC CPL under the revised policy beginning in CY 2021. After examining their revised policy and the feedback they received, and reviewing the procedures CMS added to the ASC CPL under the revised policy, CMS has reconsidered their policy and </w:t>
      </w:r>
      <w:r w:rsidR="00FC0CA7">
        <w:t>believes</w:t>
      </w:r>
      <w:r>
        <w:t xml:space="preserve"> that the policy may not appropriately assess the safety of performing surgical procedures on a typical Medicare beneficiary in an ASC, and that the 258 surgical procedures CMS added to the ASC CPL beginning in 2021 under the revised policy may not be appropriate to be performed on a typical beneficiary in the ASC setting. While CMS is always striving to balance the goals of increasing physician and patient choice, and expanding site neutral options with patient safety considerations, they nonetheless believe the current policy could be improved with additional patient safety considerations in determining whether a surgical procedure should be added to the ASC CPL. </w:t>
      </w:r>
    </w:p>
    <w:p w14:paraId="01C30157" w14:textId="311727F2" w:rsidR="00C634E5" w:rsidRDefault="00C634E5" w:rsidP="0073187C">
      <w:pPr>
        <w:pStyle w:val="BodyText2"/>
        <w:jc w:val="both"/>
      </w:pPr>
    </w:p>
    <w:p w14:paraId="60643160" w14:textId="53033FBA" w:rsidR="00C634E5" w:rsidRDefault="00C634E5" w:rsidP="0073187C">
      <w:pPr>
        <w:pStyle w:val="BodyText2"/>
        <w:jc w:val="both"/>
        <w:rPr>
          <w:b/>
          <w:bCs/>
        </w:rPr>
      </w:pPr>
      <w:r>
        <w:t xml:space="preserve">After evaluating the 267 surgery or surgery-like codes that were added </w:t>
      </w:r>
      <w:r w:rsidR="00FC0CA7">
        <w:t>in CY 2021</w:t>
      </w:r>
      <w:r>
        <w:t xml:space="preserve">, CMS clinicians determined that </w:t>
      </w:r>
      <w:r w:rsidRPr="00642D46">
        <w:t>258</w:t>
      </w:r>
      <w:r>
        <w:t xml:space="preserve"> of these surgical procedures may pose a significant safety risk to a typical Medicare beneficiary when performed in an ASC, and that nearly all would likely require active medical monitoring and care at midnight following the procedure. CMS is concerned that, under the current policy, they do not make an active enough determination about whether a procedure is suitable to perform on a typical Medicare beneficiary in an ASC setting. The policy finalized last year allows individual physician discretion to perform a number of procedures in the ASC setting that would not necessarily be appropriate for the typical Medicare beneficiary in that setting. </w:t>
      </w:r>
    </w:p>
    <w:p w14:paraId="2E8B8EFD" w14:textId="77777777" w:rsidR="00C634E5" w:rsidRDefault="00C634E5" w:rsidP="0073187C">
      <w:pPr>
        <w:pStyle w:val="BodyText2"/>
        <w:jc w:val="both"/>
        <w:rPr>
          <w:b/>
          <w:bCs/>
        </w:rPr>
      </w:pPr>
    </w:p>
    <w:p w14:paraId="30A78E7F" w14:textId="3425D062" w:rsidR="00C634E5" w:rsidRDefault="00C634E5" w:rsidP="00C634E5">
      <w:pPr>
        <w:jc w:val="both"/>
        <w:rPr>
          <w:rFonts w:ascii="Arial" w:hAnsi="Arial" w:cs="Arial"/>
          <w:sz w:val="22"/>
          <w:szCs w:val="22"/>
        </w:rPr>
      </w:pPr>
      <w:r w:rsidRPr="00C634E5">
        <w:rPr>
          <w:rFonts w:ascii="Arial" w:hAnsi="Arial" w:cs="Arial"/>
          <w:sz w:val="22"/>
          <w:szCs w:val="22"/>
        </w:rPr>
        <w:t xml:space="preserve">In light of these concerns, </w:t>
      </w:r>
      <w:r w:rsidRPr="00E97C80">
        <w:rPr>
          <w:rFonts w:ascii="Arial" w:hAnsi="Arial" w:cs="Arial"/>
          <w:b/>
          <w:bCs/>
          <w:sz w:val="22"/>
          <w:szCs w:val="22"/>
        </w:rPr>
        <w:t xml:space="preserve">CMS </w:t>
      </w:r>
      <w:r w:rsidR="00480ADC">
        <w:rPr>
          <w:rFonts w:ascii="Arial" w:hAnsi="Arial" w:cs="Arial"/>
          <w:b/>
          <w:bCs/>
          <w:sz w:val="22"/>
          <w:szCs w:val="22"/>
        </w:rPr>
        <w:t xml:space="preserve">finalized their </w:t>
      </w:r>
      <w:r w:rsidRPr="00E97C80">
        <w:rPr>
          <w:rFonts w:ascii="Arial" w:hAnsi="Arial" w:cs="Arial"/>
          <w:b/>
          <w:bCs/>
          <w:sz w:val="22"/>
          <w:szCs w:val="22"/>
        </w:rPr>
        <w:t>propos</w:t>
      </w:r>
      <w:r w:rsidR="00480ADC">
        <w:rPr>
          <w:rFonts w:ascii="Arial" w:hAnsi="Arial" w:cs="Arial"/>
          <w:b/>
          <w:bCs/>
          <w:sz w:val="22"/>
          <w:szCs w:val="22"/>
        </w:rPr>
        <w:t>al</w:t>
      </w:r>
      <w:r w:rsidRPr="00E97C80">
        <w:rPr>
          <w:rFonts w:ascii="Arial" w:hAnsi="Arial" w:cs="Arial"/>
          <w:b/>
          <w:bCs/>
          <w:sz w:val="22"/>
          <w:szCs w:val="22"/>
        </w:rPr>
        <w:t xml:space="preserve"> to revise the criteria and process for adding procedures to the ASC CPL by reinstating the ASC CPL policy and regulat</w:t>
      </w:r>
      <w:r w:rsidR="00FC0CA7">
        <w:rPr>
          <w:rFonts w:ascii="Arial" w:hAnsi="Arial" w:cs="Arial"/>
          <w:b/>
          <w:bCs/>
          <w:sz w:val="22"/>
          <w:szCs w:val="22"/>
        </w:rPr>
        <w:t>ory</w:t>
      </w:r>
      <w:r w:rsidRPr="00E97C80">
        <w:rPr>
          <w:rFonts w:ascii="Arial" w:hAnsi="Arial" w:cs="Arial"/>
          <w:b/>
          <w:bCs/>
          <w:sz w:val="22"/>
          <w:szCs w:val="22"/>
        </w:rPr>
        <w:t xml:space="preserve"> text that w</w:t>
      </w:r>
      <w:r w:rsidR="00FC0CA7">
        <w:rPr>
          <w:rFonts w:ascii="Arial" w:hAnsi="Arial" w:cs="Arial"/>
          <w:b/>
          <w:bCs/>
          <w:sz w:val="22"/>
          <w:szCs w:val="22"/>
        </w:rPr>
        <w:t>as</w:t>
      </w:r>
      <w:r w:rsidRPr="00E97C80">
        <w:rPr>
          <w:rFonts w:ascii="Arial" w:hAnsi="Arial" w:cs="Arial"/>
          <w:b/>
          <w:bCs/>
          <w:sz w:val="22"/>
          <w:szCs w:val="22"/>
        </w:rPr>
        <w:t xml:space="preserve"> in place in 2020.</w:t>
      </w:r>
      <w:r w:rsidRPr="00C634E5">
        <w:rPr>
          <w:rFonts w:ascii="Arial" w:hAnsi="Arial" w:cs="Arial"/>
          <w:sz w:val="22"/>
          <w:szCs w:val="22"/>
        </w:rPr>
        <w:t xml:space="preserve"> While this approach is a departure from the revised policy </w:t>
      </w:r>
      <w:r>
        <w:rPr>
          <w:rFonts w:ascii="Arial" w:hAnsi="Arial" w:cs="Arial"/>
          <w:sz w:val="22"/>
          <w:szCs w:val="22"/>
        </w:rPr>
        <w:t>CMS</w:t>
      </w:r>
      <w:r w:rsidRPr="00C634E5">
        <w:rPr>
          <w:rFonts w:ascii="Arial" w:hAnsi="Arial" w:cs="Arial"/>
          <w:sz w:val="22"/>
          <w:szCs w:val="22"/>
        </w:rPr>
        <w:t xml:space="preserve"> adopted </w:t>
      </w:r>
      <w:r w:rsidR="00FC0CA7" w:rsidRPr="00C634E5">
        <w:rPr>
          <w:rFonts w:ascii="Arial" w:hAnsi="Arial" w:cs="Arial"/>
          <w:sz w:val="22"/>
          <w:szCs w:val="22"/>
        </w:rPr>
        <w:t>for 2021</w:t>
      </w:r>
      <w:r w:rsidRPr="00C634E5">
        <w:rPr>
          <w:rFonts w:ascii="Arial" w:hAnsi="Arial" w:cs="Arial"/>
          <w:sz w:val="22"/>
          <w:szCs w:val="22"/>
        </w:rPr>
        <w:t xml:space="preserve">, it is consistent with </w:t>
      </w:r>
      <w:r>
        <w:rPr>
          <w:rFonts w:ascii="Arial" w:hAnsi="Arial" w:cs="Arial"/>
          <w:sz w:val="22"/>
          <w:szCs w:val="22"/>
        </w:rPr>
        <w:t>their</w:t>
      </w:r>
      <w:r w:rsidRPr="00C634E5">
        <w:rPr>
          <w:rFonts w:ascii="Arial" w:hAnsi="Arial" w:cs="Arial"/>
          <w:sz w:val="22"/>
          <w:szCs w:val="22"/>
        </w:rPr>
        <w:t xml:space="preserve"> policy from 2008 through 2020 where </w:t>
      </w:r>
      <w:r>
        <w:rPr>
          <w:rFonts w:ascii="Arial" w:hAnsi="Arial" w:cs="Arial"/>
          <w:sz w:val="22"/>
          <w:szCs w:val="22"/>
        </w:rPr>
        <w:t>they</w:t>
      </w:r>
      <w:r w:rsidRPr="00C634E5">
        <w:rPr>
          <w:rFonts w:ascii="Arial" w:hAnsi="Arial" w:cs="Arial"/>
          <w:sz w:val="22"/>
          <w:szCs w:val="22"/>
        </w:rPr>
        <w:t xml:space="preserve"> gradually expanded the ASC CPL while giving careful consideration to safety concerns and risks to the typical beneficiary. This approach would also continue to support </w:t>
      </w:r>
      <w:r>
        <w:rPr>
          <w:rFonts w:ascii="Arial" w:hAnsi="Arial" w:cs="Arial"/>
          <w:sz w:val="22"/>
          <w:szCs w:val="22"/>
        </w:rPr>
        <w:t>CMS’</w:t>
      </w:r>
      <w:r w:rsidRPr="00C634E5">
        <w:rPr>
          <w:rFonts w:ascii="Arial" w:hAnsi="Arial" w:cs="Arial"/>
          <w:sz w:val="22"/>
          <w:szCs w:val="22"/>
        </w:rPr>
        <w:t xml:space="preserve"> efforts to maximize patient access to care by, when appropriate, adding procedures to the ASC CPL to further increase the availability of ASCs as an alternative, lower cost site of care. </w:t>
      </w:r>
    </w:p>
    <w:p w14:paraId="190872D6" w14:textId="77777777" w:rsidR="00250174" w:rsidRDefault="00250174">
      <w:pPr>
        <w:rPr>
          <w:rFonts w:ascii="Arial" w:hAnsi="Arial" w:cs="Arial"/>
          <w:b/>
          <w:bCs/>
          <w:sz w:val="22"/>
        </w:rPr>
      </w:pPr>
      <w:r>
        <w:rPr>
          <w:b/>
          <w:bCs/>
        </w:rPr>
        <w:br w:type="page"/>
      </w:r>
    </w:p>
    <w:p w14:paraId="54FFAAE4" w14:textId="18D87543" w:rsidR="00E97C80" w:rsidRPr="00FC0CA7" w:rsidRDefault="00E97C80" w:rsidP="0073187C">
      <w:pPr>
        <w:pStyle w:val="BodyText2"/>
        <w:jc w:val="both"/>
        <w:rPr>
          <w:b/>
          <w:bCs/>
        </w:rPr>
      </w:pPr>
      <w:r w:rsidRPr="00E97C80">
        <w:rPr>
          <w:b/>
          <w:bCs/>
        </w:rPr>
        <w:lastRenderedPageBreak/>
        <w:t>For</w:t>
      </w:r>
      <w:r w:rsidR="00C634E5" w:rsidRPr="00E97C80">
        <w:rPr>
          <w:b/>
          <w:bCs/>
        </w:rPr>
        <w:t xml:space="preserve"> 2022, </w:t>
      </w:r>
      <w:r w:rsidRPr="00E97C80">
        <w:rPr>
          <w:b/>
          <w:bCs/>
        </w:rPr>
        <w:t>CMS</w:t>
      </w:r>
      <w:r w:rsidR="00C634E5" w:rsidRPr="00E97C80">
        <w:rPr>
          <w:b/>
          <w:bCs/>
        </w:rPr>
        <w:t xml:space="preserve"> </w:t>
      </w:r>
      <w:r w:rsidR="00480ADC">
        <w:rPr>
          <w:b/>
          <w:bCs/>
        </w:rPr>
        <w:t xml:space="preserve">finalized the </w:t>
      </w:r>
      <w:r w:rsidR="00C634E5" w:rsidRPr="00E97C80">
        <w:rPr>
          <w:b/>
          <w:bCs/>
        </w:rPr>
        <w:t>propos</w:t>
      </w:r>
      <w:r w:rsidR="00480ADC">
        <w:rPr>
          <w:b/>
          <w:bCs/>
        </w:rPr>
        <w:t>al</w:t>
      </w:r>
      <w:r w:rsidR="00C634E5" w:rsidRPr="00E97C80">
        <w:rPr>
          <w:b/>
          <w:bCs/>
        </w:rPr>
        <w:t xml:space="preserve"> to revise the requirements for covered surgical procedures in the regulation to reinstate the specifications </w:t>
      </w:r>
      <w:r w:rsidRPr="00E97C80">
        <w:rPr>
          <w:b/>
          <w:bCs/>
        </w:rPr>
        <w:t>they</w:t>
      </w:r>
      <w:r w:rsidR="00C634E5" w:rsidRPr="00E97C80">
        <w:rPr>
          <w:b/>
          <w:bCs/>
        </w:rPr>
        <w:t xml:space="preserve"> had established prior to 2021.</w:t>
      </w:r>
      <w:r w:rsidR="00C634E5" w:rsidRPr="00D228BB">
        <w:rPr>
          <w:b/>
          <w:bCs/>
        </w:rPr>
        <w:t xml:space="preserve"> </w:t>
      </w:r>
      <w:r w:rsidR="00D228BB" w:rsidRPr="00D228BB">
        <w:rPr>
          <w:b/>
          <w:bCs/>
        </w:rPr>
        <w:t>E</w:t>
      </w:r>
      <w:r w:rsidR="00C634E5" w:rsidRPr="00D228BB">
        <w:rPr>
          <w:b/>
          <w:bCs/>
        </w:rPr>
        <w:t>ffective</w:t>
      </w:r>
      <w:r w:rsidR="00C634E5" w:rsidRPr="00FC0CA7">
        <w:rPr>
          <w:b/>
          <w:bCs/>
        </w:rPr>
        <w:t xml:space="preserve"> for services furnished on or after January 1, 2022, covered surgical procedures are those procedures that meet the general standards and do not meet the general exclusions. </w:t>
      </w:r>
      <w:r w:rsidRPr="00FC0CA7">
        <w:rPr>
          <w:b/>
          <w:bCs/>
        </w:rPr>
        <w:t>C</w:t>
      </w:r>
      <w:r w:rsidR="00C634E5" w:rsidRPr="00FC0CA7">
        <w:rPr>
          <w:b/>
          <w:bCs/>
        </w:rPr>
        <w:t xml:space="preserve">overed surgical procedures are surgical procedures specified by the Secretary and published in the Federal Register and/or via the Internet on the CMS website that are separately paid under the </w:t>
      </w:r>
      <w:r w:rsidRPr="00FC0CA7">
        <w:rPr>
          <w:b/>
          <w:bCs/>
        </w:rPr>
        <w:t>H</w:t>
      </w:r>
      <w:r w:rsidR="00C634E5" w:rsidRPr="00FC0CA7">
        <w:rPr>
          <w:b/>
          <w:bCs/>
        </w:rPr>
        <w:t xml:space="preserve">OPPS, that would not be expected to pose a significant safety risk to a Medicare beneficiary when performed in an ASC, and for which standard medical practice dictates that the beneficiary would not typically be expected to require active medical monitoring and care at midnight following the procedure. </w:t>
      </w:r>
      <w:r w:rsidRPr="00FC0CA7">
        <w:rPr>
          <w:b/>
          <w:bCs/>
        </w:rPr>
        <w:t xml:space="preserve">CMS </w:t>
      </w:r>
      <w:r w:rsidR="00D228BB">
        <w:rPr>
          <w:b/>
          <w:bCs/>
        </w:rPr>
        <w:t xml:space="preserve">finalized the proposal to </w:t>
      </w:r>
      <w:r w:rsidR="00C634E5" w:rsidRPr="00FC0CA7">
        <w:rPr>
          <w:b/>
          <w:bCs/>
        </w:rPr>
        <w:t xml:space="preserve">include the five criteria as safety factors physicians consider. </w:t>
      </w:r>
      <w:r w:rsidR="00D228BB">
        <w:rPr>
          <w:b/>
          <w:bCs/>
        </w:rPr>
        <w:t xml:space="preserve">Effective January 1, 2022, </w:t>
      </w:r>
      <w:r w:rsidR="00C634E5" w:rsidRPr="00FC0CA7">
        <w:rPr>
          <w:b/>
          <w:bCs/>
        </w:rPr>
        <w:t xml:space="preserve">covered surgical procedures do </w:t>
      </w:r>
      <w:r w:rsidR="00C634E5" w:rsidRPr="00D228BB">
        <w:rPr>
          <w:b/>
          <w:bCs/>
          <w:u w:val="single"/>
        </w:rPr>
        <w:t>not</w:t>
      </w:r>
      <w:r w:rsidR="00C634E5" w:rsidRPr="00FC0CA7">
        <w:rPr>
          <w:b/>
          <w:bCs/>
        </w:rPr>
        <w:t xml:space="preserve"> include those surgical procedures that: (1) generally result in extensive blood loss; (2) require major or prolonged invasion of body cavities; (3) directly involve major blood vessels; (4) are generally emergent or life-threatening in nature; (5) commonly require systemic thrombolytic therapy; (6) are designated as requiring inpatient care; (7) can only be reported using a CPT unlisted surgical procedure code; or (8) are otherwise excluded. </w:t>
      </w:r>
    </w:p>
    <w:p w14:paraId="4E70F0B4" w14:textId="77777777" w:rsidR="00E97C80" w:rsidRDefault="00E97C80" w:rsidP="0073187C">
      <w:pPr>
        <w:pStyle w:val="BodyText2"/>
        <w:jc w:val="both"/>
        <w:rPr>
          <w:b/>
          <w:bCs/>
        </w:rPr>
      </w:pPr>
    </w:p>
    <w:p w14:paraId="0CB1B1FA" w14:textId="19C0C435" w:rsidR="00E94D32" w:rsidRPr="00E94D32" w:rsidRDefault="00E97C80" w:rsidP="00E94D32">
      <w:pPr>
        <w:pStyle w:val="BodyText2"/>
        <w:jc w:val="both"/>
        <w:rPr>
          <w:b/>
          <w:bCs/>
          <w:szCs w:val="22"/>
        </w:rPr>
      </w:pPr>
      <w:r w:rsidRPr="00E94D32">
        <w:t>CMS propos</w:t>
      </w:r>
      <w:r w:rsidR="00E94D32" w:rsidRPr="00E94D32">
        <w:t xml:space="preserve">ed </w:t>
      </w:r>
      <w:r w:rsidRPr="00E94D32">
        <w:t xml:space="preserve">to remove 258 procedures from the ASC CPL effective January 1, 2022. </w:t>
      </w:r>
      <w:r w:rsidR="00E94D32">
        <w:t>In the</w:t>
      </w:r>
      <w:r w:rsidR="00E94D32" w:rsidRPr="00E94D32">
        <w:rPr>
          <w:szCs w:val="22"/>
        </w:rPr>
        <w:t xml:space="preserve"> 2022 </w:t>
      </w:r>
      <w:r w:rsidR="00D228BB">
        <w:rPr>
          <w:szCs w:val="22"/>
        </w:rPr>
        <w:t>H</w:t>
      </w:r>
      <w:r w:rsidR="00E94D32" w:rsidRPr="00E94D32">
        <w:rPr>
          <w:szCs w:val="22"/>
        </w:rPr>
        <w:t>OPPS/ASC final rule with comment period, after review</w:t>
      </w:r>
      <w:r w:rsidR="00E94D32">
        <w:rPr>
          <w:szCs w:val="22"/>
        </w:rPr>
        <w:t xml:space="preserve"> of </w:t>
      </w:r>
      <w:r w:rsidR="00E94D32" w:rsidRPr="00E94D32">
        <w:rPr>
          <w:szCs w:val="22"/>
        </w:rPr>
        <w:t xml:space="preserve">140 procedure recommendations, </w:t>
      </w:r>
      <w:r w:rsidR="00E94D32" w:rsidRPr="00E94D32">
        <w:rPr>
          <w:b/>
          <w:bCs/>
          <w:szCs w:val="22"/>
        </w:rPr>
        <w:t xml:space="preserve">CMS is </w:t>
      </w:r>
      <w:r w:rsidR="00E94D32" w:rsidRPr="00E94D32">
        <w:rPr>
          <w:b/>
          <w:bCs/>
          <w:szCs w:val="22"/>
        </w:rPr>
        <w:t>finalizing retaining six codes that commenters</w:t>
      </w:r>
      <w:r w:rsidR="00E94D32" w:rsidRPr="00E94D32">
        <w:rPr>
          <w:b/>
          <w:bCs/>
          <w:szCs w:val="22"/>
        </w:rPr>
        <w:t xml:space="preserve"> </w:t>
      </w:r>
      <w:r w:rsidR="00E94D32" w:rsidRPr="00E94D32">
        <w:rPr>
          <w:b/>
          <w:bCs/>
          <w:szCs w:val="22"/>
        </w:rPr>
        <w:t xml:space="preserve">recommended </w:t>
      </w:r>
      <w:r w:rsidR="00E94D32" w:rsidRPr="00E94D32">
        <w:rPr>
          <w:b/>
          <w:bCs/>
          <w:szCs w:val="22"/>
        </w:rPr>
        <w:t>that CMS</w:t>
      </w:r>
      <w:r w:rsidR="00E94D32" w:rsidRPr="00E94D32">
        <w:rPr>
          <w:b/>
          <w:bCs/>
          <w:szCs w:val="22"/>
        </w:rPr>
        <w:t xml:space="preserve"> retain on the ASC CPL, specifically the 3 codes that have been on the ASC</w:t>
      </w:r>
      <w:r w:rsidR="00E94D32" w:rsidRPr="00E94D32">
        <w:rPr>
          <w:b/>
          <w:bCs/>
          <w:szCs w:val="22"/>
        </w:rPr>
        <w:t xml:space="preserve"> </w:t>
      </w:r>
      <w:r w:rsidR="00E94D32" w:rsidRPr="00E94D32">
        <w:rPr>
          <w:b/>
          <w:bCs/>
          <w:szCs w:val="22"/>
        </w:rPr>
        <w:t xml:space="preserve">CPL that </w:t>
      </w:r>
      <w:r w:rsidR="00E94D32" w:rsidRPr="00E94D32">
        <w:rPr>
          <w:b/>
          <w:bCs/>
          <w:szCs w:val="22"/>
        </w:rPr>
        <w:t>CMS</w:t>
      </w:r>
      <w:r w:rsidR="00E94D32" w:rsidRPr="00E94D32">
        <w:rPr>
          <w:b/>
          <w:bCs/>
          <w:szCs w:val="22"/>
        </w:rPr>
        <w:t xml:space="preserve"> did not propose to remove in 2022, as well as 3 codes of the 258 codes</w:t>
      </w:r>
      <w:r w:rsidR="00E94D32" w:rsidRPr="00E94D32">
        <w:rPr>
          <w:b/>
          <w:bCs/>
          <w:szCs w:val="22"/>
        </w:rPr>
        <w:t xml:space="preserve"> </w:t>
      </w:r>
      <w:r w:rsidR="00E94D32" w:rsidRPr="00E94D32">
        <w:rPr>
          <w:b/>
          <w:bCs/>
          <w:szCs w:val="22"/>
        </w:rPr>
        <w:t>proposed for removal</w:t>
      </w:r>
      <w:r w:rsidR="00E94D32">
        <w:rPr>
          <w:b/>
          <w:bCs/>
          <w:szCs w:val="22"/>
        </w:rPr>
        <w:t xml:space="preserve"> </w:t>
      </w:r>
      <w:r w:rsidR="00E94D32">
        <w:rPr>
          <w:szCs w:val="22"/>
        </w:rPr>
        <w:t>(none of these codes are related to radiation oncology surgical procedures).</w:t>
      </w:r>
      <w:r w:rsidR="00E94D32" w:rsidRPr="00E94D32">
        <w:rPr>
          <w:b/>
          <w:bCs/>
          <w:szCs w:val="22"/>
        </w:rPr>
        <w:t xml:space="preserve"> Thus, </w:t>
      </w:r>
      <w:r w:rsidR="00E94D32" w:rsidRPr="00E94D32">
        <w:rPr>
          <w:b/>
          <w:bCs/>
          <w:szCs w:val="22"/>
        </w:rPr>
        <w:t>CMS is</w:t>
      </w:r>
      <w:r w:rsidR="00E94D32" w:rsidRPr="00E94D32">
        <w:rPr>
          <w:b/>
          <w:bCs/>
          <w:szCs w:val="22"/>
        </w:rPr>
        <w:t xml:space="preserve"> removing the remaining 255 of 258 codes proposed for</w:t>
      </w:r>
      <w:r w:rsidR="00E94D32" w:rsidRPr="00E94D32">
        <w:rPr>
          <w:b/>
          <w:bCs/>
          <w:szCs w:val="22"/>
        </w:rPr>
        <w:t xml:space="preserve"> </w:t>
      </w:r>
      <w:r w:rsidR="00E94D32" w:rsidRPr="00E94D32">
        <w:rPr>
          <w:b/>
          <w:bCs/>
          <w:szCs w:val="22"/>
        </w:rPr>
        <w:t>removal.</w:t>
      </w:r>
      <w:r w:rsidR="00E94D32">
        <w:rPr>
          <w:b/>
          <w:bCs/>
          <w:szCs w:val="22"/>
        </w:rPr>
        <w:t xml:space="preserve"> </w:t>
      </w:r>
    </w:p>
    <w:p w14:paraId="047ADE05" w14:textId="77777777" w:rsidR="00E94D32" w:rsidRPr="00E94D32" w:rsidRDefault="00E94D32" w:rsidP="00E94D32">
      <w:pPr>
        <w:pStyle w:val="BodyText2"/>
        <w:jc w:val="both"/>
        <w:rPr>
          <w:szCs w:val="22"/>
        </w:rPr>
      </w:pPr>
    </w:p>
    <w:p w14:paraId="01C49FD5" w14:textId="4F7917ED" w:rsidR="008A5683" w:rsidRPr="008A5683" w:rsidRDefault="00E94D32" w:rsidP="008A5683">
      <w:pPr>
        <w:jc w:val="both"/>
        <w:rPr>
          <w:rFonts w:ascii="Arial" w:hAnsi="Arial" w:cs="Arial"/>
          <w:sz w:val="22"/>
          <w:szCs w:val="22"/>
        </w:rPr>
      </w:pPr>
      <w:r>
        <w:rPr>
          <w:rFonts w:ascii="Arial" w:hAnsi="Arial" w:cs="Arial"/>
          <w:b/>
          <w:bCs/>
          <w:sz w:val="22"/>
          <w:szCs w:val="22"/>
        </w:rPr>
        <w:t xml:space="preserve">CMS is also finalizing the adoption of a nomination process, which will begin in March 2022, to allow an external party to nominate a surgical procedure to be added to the ASC CPL.  </w:t>
      </w:r>
      <w:r w:rsidR="008A5683" w:rsidRPr="008A5683">
        <w:rPr>
          <w:rFonts w:ascii="Arial" w:hAnsi="Arial" w:cs="Arial"/>
          <w:sz w:val="22"/>
          <w:szCs w:val="22"/>
        </w:rPr>
        <w:t xml:space="preserve">CMS requests stakeholder nominations by March 1 of the year prior to the calendar year for the next applicable rulemaking cycle in order to be included in that rulemaking cycle. For example, stakeholders would need to send in nominations by March 1, 2022, to be considered for the CY 2023 rulemaking cycle and potentially have their nomination effective by January 1, 2023. </w:t>
      </w:r>
    </w:p>
    <w:p w14:paraId="68B92D38" w14:textId="77777777" w:rsidR="008A5683" w:rsidRPr="008A5683" w:rsidRDefault="008A5683" w:rsidP="008A5683">
      <w:pPr>
        <w:jc w:val="both"/>
        <w:rPr>
          <w:rFonts w:ascii="Arial" w:hAnsi="Arial" w:cs="Arial"/>
          <w:b/>
          <w:bCs/>
          <w:sz w:val="22"/>
          <w:szCs w:val="22"/>
        </w:rPr>
      </w:pPr>
    </w:p>
    <w:p w14:paraId="0AE32300" w14:textId="330896A1" w:rsidR="00CB57F4" w:rsidRPr="00E90E48" w:rsidRDefault="00641CA5" w:rsidP="00E44C88">
      <w:pPr>
        <w:pStyle w:val="BodyText2"/>
        <w:jc w:val="both"/>
      </w:pPr>
      <w:r>
        <w:t>C</w:t>
      </w:r>
      <w:r w:rsidR="00CB57F4" w:rsidRPr="00E90E48">
        <w:t>. Changes to Covered Surgical Procedures Designated as Office-Based</w:t>
      </w:r>
    </w:p>
    <w:p w14:paraId="46C27C3C" w14:textId="77777777" w:rsidR="00CB57F4" w:rsidRPr="00E90E48" w:rsidRDefault="00CB57F4" w:rsidP="00E44C88">
      <w:pPr>
        <w:pStyle w:val="BodyText2"/>
        <w:jc w:val="both"/>
      </w:pPr>
    </w:p>
    <w:p w14:paraId="2E24DD58" w14:textId="4B5DBF84" w:rsidR="006620ED" w:rsidRPr="00D14D25" w:rsidRDefault="00D14D25" w:rsidP="00D14D25">
      <w:pPr>
        <w:pStyle w:val="BodyText2"/>
        <w:jc w:val="both"/>
        <w:rPr>
          <w:bCs/>
        </w:rPr>
      </w:pPr>
      <w:r>
        <w:t xml:space="preserve">None of the </w:t>
      </w:r>
      <w:r w:rsidR="00CB57F4" w:rsidRPr="00A55352">
        <w:t xml:space="preserve">CMS </w:t>
      </w:r>
      <w:r w:rsidR="00725BED">
        <w:t>changes</w:t>
      </w:r>
      <w:r>
        <w:t xml:space="preserve"> regarding office-based surgical procedures </w:t>
      </w:r>
      <w:r w:rsidR="003E14E3">
        <w:t>are</w:t>
      </w:r>
      <w:r w:rsidR="00193E57" w:rsidRPr="009E22EC">
        <w:rPr>
          <w:b/>
        </w:rPr>
        <w:t xml:space="preserve"> </w:t>
      </w:r>
      <w:r w:rsidR="00193E57" w:rsidRPr="00D14D25">
        <w:rPr>
          <w:bCs/>
        </w:rPr>
        <w:t xml:space="preserve">related to radiation oncology surgical procedures. </w:t>
      </w:r>
    </w:p>
    <w:p w14:paraId="2399DB87" w14:textId="77777777" w:rsidR="000F3794" w:rsidRDefault="000F3794">
      <w:pPr>
        <w:rPr>
          <w:rFonts w:ascii="Arial" w:hAnsi="Arial" w:cs="Arial"/>
          <w:sz w:val="22"/>
        </w:rPr>
      </w:pPr>
    </w:p>
    <w:p w14:paraId="235CE00A" w14:textId="46FAA1DE" w:rsidR="00CB57F4" w:rsidRPr="00E90E48" w:rsidRDefault="00641CA5" w:rsidP="00E44C88">
      <w:pPr>
        <w:pStyle w:val="BodyText2"/>
        <w:jc w:val="both"/>
      </w:pPr>
      <w:r>
        <w:t>D</w:t>
      </w:r>
      <w:r w:rsidR="00CB57F4" w:rsidRPr="00835A81">
        <w:t xml:space="preserve">. </w:t>
      </w:r>
      <w:r w:rsidR="00B353A6" w:rsidRPr="00835A81">
        <w:t>ASC</w:t>
      </w:r>
      <w:r w:rsidR="00CB57F4" w:rsidRPr="00835A81">
        <w:t xml:space="preserve"> Covered Surgical Procedures Designated as Device-Intensive</w:t>
      </w:r>
      <w:r w:rsidR="00CB57F4" w:rsidRPr="00E90E48">
        <w:t xml:space="preserve"> </w:t>
      </w:r>
    </w:p>
    <w:p w14:paraId="3D0BB4C0" w14:textId="77777777" w:rsidR="00CB57F4" w:rsidRDefault="00CB57F4" w:rsidP="00E44C88">
      <w:pPr>
        <w:pStyle w:val="BodyText2"/>
        <w:jc w:val="both"/>
      </w:pPr>
    </w:p>
    <w:p w14:paraId="2FB314D7" w14:textId="77777777" w:rsidR="000B12C7" w:rsidRDefault="0076293C" w:rsidP="00E25A73">
      <w:pPr>
        <w:autoSpaceDE w:val="0"/>
        <w:autoSpaceDN w:val="0"/>
        <w:adjustRightInd w:val="0"/>
        <w:jc w:val="both"/>
        <w:rPr>
          <w:rFonts w:ascii="Arial" w:hAnsi="Arial" w:cs="Arial"/>
          <w:sz w:val="22"/>
          <w:szCs w:val="22"/>
        </w:rPr>
      </w:pPr>
      <w:r>
        <w:rPr>
          <w:rFonts w:ascii="Arial" w:hAnsi="Arial" w:cs="Arial"/>
          <w:sz w:val="22"/>
          <w:szCs w:val="22"/>
        </w:rPr>
        <w:t>Beginning i</w:t>
      </w:r>
      <w:r w:rsidRPr="0076293C">
        <w:rPr>
          <w:rFonts w:ascii="Arial" w:hAnsi="Arial" w:cs="Arial"/>
          <w:sz w:val="22"/>
          <w:szCs w:val="22"/>
        </w:rPr>
        <w:t>n</w:t>
      </w:r>
      <w:r w:rsidR="00E25A73" w:rsidRPr="0076293C">
        <w:rPr>
          <w:rFonts w:ascii="Arial" w:hAnsi="Arial" w:cs="Arial"/>
          <w:sz w:val="22"/>
          <w:szCs w:val="22"/>
        </w:rPr>
        <w:t xml:space="preserve"> 2019</w:t>
      </w:r>
      <w:r>
        <w:rPr>
          <w:rFonts w:ascii="Arial" w:hAnsi="Arial" w:cs="Arial"/>
          <w:sz w:val="22"/>
          <w:szCs w:val="22"/>
        </w:rPr>
        <w:t xml:space="preserve"> and subsequent years</w:t>
      </w:r>
      <w:r w:rsidR="00E25A73" w:rsidRPr="0076293C">
        <w:rPr>
          <w:rFonts w:ascii="Arial" w:hAnsi="Arial" w:cs="Arial"/>
          <w:sz w:val="22"/>
          <w:szCs w:val="22"/>
        </w:rPr>
        <w:t xml:space="preserve">, CMS </w:t>
      </w:r>
      <w:r w:rsidR="009F291C" w:rsidRPr="0076293C">
        <w:rPr>
          <w:rFonts w:ascii="Arial" w:hAnsi="Arial" w:cs="Arial"/>
          <w:sz w:val="22"/>
          <w:szCs w:val="22"/>
        </w:rPr>
        <w:t>modifie</w:t>
      </w:r>
      <w:r w:rsidRPr="0076293C">
        <w:rPr>
          <w:rFonts w:ascii="Arial" w:hAnsi="Arial" w:cs="Arial"/>
          <w:sz w:val="22"/>
          <w:szCs w:val="22"/>
        </w:rPr>
        <w:t>d</w:t>
      </w:r>
      <w:r w:rsidR="00E25A73" w:rsidRPr="0076293C">
        <w:rPr>
          <w:rFonts w:ascii="Arial" w:hAnsi="Arial" w:cs="Arial"/>
          <w:sz w:val="22"/>
          <w:szCs w:val="22"/>
        </w:rPr>
        <w:t xml:space="preserve"> the criteria for device-intensive procedures to better capture costs for procedures with significant device costs.  CMS allow</w:t>
      </w:r>
      <w:r>
        <w:rPr>
          <w:rFonts w:ascii="Arial" w:hAnsi="Arial" w:cs="Arial"/>
          <w:sz w:val="22"/>
          <w:szCs w:val="22"/>
        </w:rPr>
        <w:t>s</w:t>
      </w:r>
      <w:r w:rsidR="00E25A73" w:rsidRPr="0076293C">
        <w:rPr>
          <w:rFonts w:ascii="Arial" w:hAnsi="Arial" w:cs="Arial"/>
          <w:sz w:val="22"/>
          <w:szCs w:val="22"/>
        </w:rPr>
        <w:t xml:space="preserve"> procedures that involve surgically inserted or implanted, high-cost, single-use devices to qualify as device-intensive procedures.  In addition, CMS lower</w:t>
      </w:r>
      <w:r>
        <w:rPr>
          <w:rFonts w:ascii="Arial" w:hAnsi="Arial" w:cs="Arial"/>
          <w:sz w:val="22"/>
          <w:szCs w:val="22"/>
        </w:rPr>
        <w:t>ed</w:t>
      </w:r>
      <w:r w:rsidR="00E25A73" w:rsidRPr="0076293C">
        <w:rPr>
          <w:rFonts w:ascii="Arial" w:hAnsi="Arial" w:cs="Arial"/>
          <w:sz w:val="22"/>
          <w:szCs w:val="22"/>
        </w:rPr>
        <w:t xml:space="preserve"> the device offset percentage threshold to 30 percent.</w:t>
      </w:r>
      <w:r w:rsidR="00982FB0">
        <w:rPr>
          <w:rFonts w:ascii="Arial" w:hAnsi="Arial" w:cs="Arial"/>
          <w:sz w:val="22"/>
          <w:szCs w:val="22"/>
        </w:rPr>
        <w:t xml:space="preserve"> </w:t>
      </w:r>
    </w:p>
    <w:p w14:paraId="6DD0F601" w14:textId="77777777" w:rsidR="000B12C7" w:rsidRDefault="000B12C7" w:rsidP="00E25A73">
      <w:pPr>
        <w:autoSpaceDE w:val="0"/>
        <w:autoSpaceDN w:val="0"/>
        <w:adjustRightInd w:val="0"/>
        <w:jc w:val="both"/>
        <w:rPr>
          <w:rFonts w:ascii="Arial" w:hAnsi="Arial" w:cs="Arial"/>
          <w:sz w:val="22"/>
          <w:szCs w:val="22"/>
        </w:rPr>
      </w:pPr>
    </w:p>
    <w:p w14:paraId="052210C8" w14:textId="55486380" w:rsidR="00E25A73" w:rsidRDefault="00982FB0" w:rsidP="00E25A73">
      <w:pPr>
        <w:autoSpaceDE w:val="0"/>
        <w:autoSpaceDN w:val="0"/>
        <w:adjustRightInd w:val="0"/>
        <w:jc w:val="both"/>
        <w:rPr>
          <w:rFonts w:ascii="Arial" w:hAnsi="Arial" w:cs="Arial"/>
          <w:sz w:val="22"/>
          <w:szCs w:val="22"/>
        </w:rPr>
      </w:pPr>
      <w:r w:rsidRPr="00DA7F9C">
        <w:rPr>
          <w:rFonts w:ascii="Arial" w:hAnsi="Arial" w:cs="Arial"/>
          <w:sz w:val="22"/>
          <w:szCs w:val="22"/>
        </w:rPr>
        <w:t>CMS modifie</w:t>
      </w:r>
      <w:r w:rsidR="00250174">
        <w:rPr>
          <w:rFonts w:ascii="Arial" w:hAnsi="Arial" w:cs="Arial"/>
          <w:sz w:val="22"/>
          <w:szCs w:val="22"/>
        </w:rPr>
        <w:t>d</w:t>
      </w:r>
      <w:r w:rsidRPr="00DA7F9C">
        <w:rPr>
          <w:rFonts w:ascii="Arial" w:hAnsi="Arial" w:cs="Arial"/>
          <w:sz w:val="22"/>
          <w:szCs w:val="22"/>
        </w:rPr>
        <w:t xml:space="preserve"> the definition of a device-intensive procedure </w:t>
      </w:r>
      <w:r w:rsidR="00D213F5" w:rsidRPr="00DA7F9C">
        <w:rPr>
          <w:rFonts w:ascii="Arial" w:hAnsi="Arial" w:cs="Arial"/>
          <w:sz w:val="22"/>
          <w:szCs w:val="22"/>
        </w:rPr>
        <w:t>“to only apply the device-intensive procedure payment methodology to device-intensive procedures under the ASC payment system when the device-intensive procedure is furnished with a surgically inserted or implanted device (including single use medical devices</w:t>
      </w:r>
      <w:r w:rsidR="000F3794">
        <w:rPr>
          <w:rFonts w:ascii="Arial" w:hAnsi="Arial" w:cs="Arial"/>
          <w:sz w:val="22"/>
          <w:szCs w:val="22"/>
        </w:rPr>
        <w:t>)</w:t>
      </w:r>
      <w:r w:rsidR="00D213F5" w:rsidRPr="00DA7F9C">
        <w:rPr>
          <w:rFonts w:ascii="Arial" w:hAnsi="Arial" w:cs="Arial"/>
          <w:sz w:val="22"/>
          <w:szCs w:val="22"/>
        </w:rPr>
        <w:t>.”</w:t>
      </w:r>
      <w:r>
        <w:rPr>
          <w:rFonts w:ascii="Arial" w:hAnsi="Arial" w:cs="Arial"/>
          <w:sz w:val="22"/>
          <w:szCs w:val="22"/>
        </w:rPr>
        <w:t xml:space="preserve"> </w:t>
      </w:r>
    </w:p>
    <w:p w14:paraId="667C32F5" w14:textId="45BBCA0E" w:rsidR="00AF68A7" w:rsidRDefault="00AF68A7" w:rsidP="00E25A73">
      <w:pPr>
        <w:autoSpaceDE w:val="0"/>
        <w:autoSpaceDN w:val="0"/>
        <w:adjustRightInd w:val="0"/>
        <w:jc w:val="both"/>
        <w:rPr>
          <w:rFonts w:ascii="Arial" w:hAnsi="Arial" w:cs="Arial"/>
          <w:sz w:val="22"/>
          <w:szCs w:val="22"/>
        </w:rPr>
      </w:pPr>
    </w:p>
    <w:p w14:paraId="4029B046" w14:textId="2DB755D0" w:rsidR="00AF68A7" w:rsidRDefault="00AF68A7" w:rsidP="00AF68A7">
      <w:pPr>
        <w:autoSpaceDE w:val="0"/>
        <w:autoSpaceDN w:val="0"/>
        <w:adjustRightInd w:val="0"/>
        <w:jc w:val="both"/>
        <w:rPr>
          <w:rFonts w:ascii="Arial" w:hAnsi="Arial" w:cs="Arial"/>
          <w:sz w:val="22"/>
          <w:szCs w:val="22"/>
        </w:rPr>
      </w:pPr>
      <w:r w:rsidRPr="000B12C7">
        <w:rPr>
          <w:rFonts w:ascii="Arial" w:hAnsi="Arial" w:cs="Arial"/>
          <w:sz w:val="22"/>
          <w:szCs w:val="22"/>
        </w:rPr>
        <w:lastRenderedPageBreak/>
        <w:t xml:space="preserve">In past rulemaking, </w:t>
      </w:r>
      <w:r>
        <w:rPr>
          <w:rFonts w:ascii="Arial" w:hAnsi="Arial" w:cs="Arial"/>
          <w:sz w:val="22"/>
          <w:szCs w:val="22"/>
        </w:rPr>
        <w:t>CMS</w:t>
      </w:r>
      <w:r w:rsidRPr="000B12C7">
        <w:rPr>
          <w:rFonts w:ascii="Arial" w:hAnsi="Arial" w:cs="Arial"/>
          <w:sz w:val="22"/>
          <w:szCs w:val="22"/>
        </w:rPr>
        <w:t xml:space="preserve"> stated that the device-intensive methodology for ASCs should align with the device-intensive policies under the </w:t>
      </w:r>
      <w:r>
        <w:rPr>
          <w:rFonts w:ascii="Arial" w:hAnsi="Arial" w:cs="Arial"/>
          <w:sz w:val="22"/>
          <w:szCs w:val="22"/>
        </w:rPr>
        <w:t>H</w:t>
      </w:r>
      <w:r w:rsidRPr="000B12C7">
        <w:rPr>
          <w:rFonts w:ascii="Arial" w:hAnsi="Arial" w:cs="Arial"/>
          <w:sz w:val="22"/>
          <w:szCs w:val="22"/>
        </w:rPr>
        <w:t xml:space="preserve">OPPS. Further, </w:t>
      </w:r>
      <w:r>
        <w:rPr>
          <w:rFonts w:ascii="Arial" w:hAnsi="Arial" w:cs="Arial"/>
          <w:sz w:val="22"/>
          <w:szCs w:val="22"/>
        </w:rPr>
        <w:t>CMS</w:t>
      </w:r>
      <w:r w:rsidRPr="000B12C7">
        <w:rPr>
          <w:rFonts w:ascii="Arial" w:hAnsi="Arial" w:cs="Arial"/>
          <w:sz w:val="22"/>
          <w:szCs w:val="22"/>
        </w:rPr>
        <w:t xml:space="preserve"> stated that </w:t>
      </w:r>
      <w:r>
        <w:rPr>
          <w:rFonts w:ascii="Arial" w:hAnsi="Arial" w:cs="Arial"/>
          <w:sz w:val="22"/>
          <w:szCs w:val="22"/>
        </w:rPr>
        <w:t>they</w:t>
      </w:r>
      <w:r w:rsidRPr="000B12C7">
        <w:rPr>
          <w:rFonts w:ascii="Arial" w:hAnsi="Arial" w:cs="Arial"/>
          <w:sz w:val="22"/>
          <w:szCs w:val="22"/>
        </w:rPr>
        <w:t xml:space="preserve"> do not believe that procedures are device-intensive in one setting and not in another setting. </w:t>
      </w:r>
      <w:r>
        <w:rPr>
          <w:rFonts w:ascii="Arial" w:hAnsi="Arial" w:cs="Arial"/>
          <w:sz w:val="22"/>
          <w:szCs w:val="22"/>
        </w:rPr>
        <w:t xml:space="preserve">CMS states that they </w:t>
      </w:r>
      <w:r w:rsidRPr="000B12C7">
        <w:rPr>
          <w:rFonts w:ascii="Arial" w:hAnsi="Arial" w:cs="Arial"/>
          <w:sz w:val="22"/>
          <w:szCs w:val="22"/>
        </w:rPr>
        <w:t xml:space="preserve">have heard concerns from stakeholders that </w:t>
      </w:r>
      <w:r>
        <w:rPr>
          <w:rFonts w:ascii="Arial" w:hAnsi="Arial" w:cs="Arial"/>
          <w:sz w:val="22"/>
          <w:szCs w:val="22"/>
        </w:rPr>
        <w:t>the</w:t>
      </w:r>
      <w:r w:rsidRPr="000B12C7">
        <w:rPr>
          <w:rFonts w:ascii="Arial" w:hAnsi="Arial" w:cs="Arial"/>
          <w:sz w:val="22"/>
          <w:szCs w:val="22"/>
        </w:rPr>
        <w:t xml:space="preserve"> methodology does not provide device-intensive status to certain procedures even though the procedures’ device offset percentages are greater than </w:t>
      </w:r>
      <w:r w:rsidR="00FC0CA7">
        <w:rPr>
          <w:rFonts w:ascii="Arial" w:hAnsi="Arial" w:cs="Arial"/>
          <w:sz w:val="22"/>
          <w:szCs w:val="22"/>
        </w:rPr>
        <w:t>the</w:t>
      </w:r>
      <w:r w:rsidRPr="000B12C7">
        <w:rPr>
          <w:rFonts w:ascii="Arial" w:hAnsi="Arial" w:cs="Arial"/>
          <w:sz w:val="22"/>
          <w:szCs w:val="22"/>
        </w:rPr>
        <w:t xml:space="preserve"> 30 percent threshold when calculated under the standard ASC ratesetting methodology. </w:t>
      </w:r>
      <w:r>
        <w:rPr>
          <w:rFonts w:ascii="Arial" w:hAnsi="Arial" w:cs="Arial"/>
          <w:sz w:val="22"/>
          <w:szCs w:val="22"/>
        </w:rPr>
        <w:t>CMS</w:t>
      </w:r>
      <w:r w:rsidRPr="000B12C7">
        <w:rPr>
          <w:rFonts w:ascii="Arial" w:hAnsi="Arial" w:cs="Arial"/>
          <w:sz w:val="22"/>
          <w:szCs w:val="22"/>
        </w:rPr>
        <w:t xml:space="preserve"> ha</w:t>
      </w:r>
      <w:r>
        <w:rPr>
          <w:rFonts w:ascii="Arial" w:hAnsi="Arial" w:cs="Arial"/>
          <w:sz w:val="22"/>
          <w:szCs w:val="22"/>
        </w:rPr>
        <w:t>s</w:t>
      </w:r>
      <w:r w:rsidRPr="000B12C7">
        <w:rPr>
          <w:rFonts w:ascii="Arial" w:hAnsi="Arial" w:cs="Arial"/>
          <w:sz w:val="22"/>
          <w:szCs w:val="22"/>
        </w:rPr>
        <w:t xml:space="preserve"> also heard concerns from stakeholders that procedures designated as device-intensive under the </w:t>
      </w:r>
      <w:r>
        <w:rPr>
          <w:rFonts w:ascii="Arial" w:hAnsi="Arial" w:cs="Arial"/>
          <w:sz w:val="22"/>
          <w:szCs w:val="22"/>
        </w:rPr>
        <w:t>H</w:t>
      </w:r>
      <w:r w:rsidRPr="000B12C7">
        <w:rPr>
          <w:rFonts w:ascii="Arial" w:hAnsi="Arial" w:cs="Arial"/>
          <w:sz w:val="22"/>
          <w:szCs w:val="22"/>
        </w:rPr>
        <w:t xml:space="preserve">OPPS are not assigned device-intensive status under the ASC payment system even though the procedure has significant device costs. </w:t>
      </w:r>
    </w:p>
    <w:p w14:paraId="1A5C3AFC" w14:textId="77777777" w:rsidR="00AF68A7" w:rsidRDefault="00AF68A7" w:rsidP="00AF68A7">
      <w:pPr>
        <w:autoSpaceDE w:val="0"/>
        <w:autoSpaceDN w:val="0"/>
        <w:adjustRightInd w:val="0"/>
        <w:jc w:val="both"/>
        <w:rPr>
          <w:rFonts w:ascii="Arial" w:hAnsi="Arial" w:cs="Arial"/>
          <w:sz w:val="22"/>
          <w:szCs w:val="22"/>
        </w:rPr>
      </w:pPr>
    </w:p>
    <w:p w14:paraId="5F4F88F2" w14:textId="77777777" w:rsidR="00AF68A7" w:rsidRDefault="00AF68A7" w:rsidP="00AF68A7">
      <w:pPr>
        <w:autoSpaceDE w:val="0"/>
        <w:autoSpaceDN w:val="0"/>
        <w:adjustRightInd w:val="0"/>
        <w:jc w:val="both"/>
        <w:rPr>
          <w:rFonts w:ascii="Arial" w:hAnsi="Arial" w:cs="Arial"/>
          <w:sz w:val="22"/>
          <w:szCs w:val="22"/>
        </w:rPr>
      </w:pPr>
      <w:r w:rsidRPr="000B12C7">
        <w:rPr>
          <w:rFonts w:ascii="Arial" w:hAnsi="Arial" w:cs="Arial"/>
          <w:sz w:val="22"/>
          <w:szCs w:val="22"/>
        </w:rPr>
        <w:t xml:space="preserve">The different ratesetting methodologies used under the </w:t>
      </w:r>
      <w:r>
        <w:rPr>
          <w:rFonts w:ascii="Arial" w:hAnsi="Arial" w:cs="Arial"/>
          <w:sz w:val="22"/>
          <w:szCs w:val="22"/>
        </w:rPr>
        <w:t>H</w:t>
      </w:r>
      <w:r w:rsidRPr="000B12C7">
        <w:rPr>
          <w:rFonts w:ascii="Arial" w:hAnsi="Arial" w:cs="Arial"/>
          <w:sz w:val="22"/>
          <w:szCs w:val="22"/>
        </w:rPr>
        <w:t xml:space="preserve">OPPS and ASC payment system can create conflicts when determining device-intensive status. For example, procedures with device offset percentages greater than 30 percent under the </w:t>
      </w:r>
      <w:r>
        <w:rPr>
          <w:rFonts w:ascii="Arial" w:hAnsi="Arial" w:cs="Arial"/>
          <w:sz w:val="22"/>
          <w:szCs w:val="22"/>
        </w:rPr>
        <w:t>H</w:t>
      </w:r>
      <w:r w:rsidRPr="000B12C7">
        <w:rPr>
          <w:rFonts w:ascii="Arial" w:hAnsi="Arial" w:cs="Arial"/>
          <w:sz w:val="22"/>
          <w:szCs w:val="22"/>
        </w:rPr>
        <w:t xml:space="preserve">OPPS may not have device offset percentages greater than 30 percent when calculated under the standard ASC ratesetting methodology. Under current policy, procedures must be device-intensive in the </w:t>
      </w:r>
      <w:r>
        <w:rPr>
          <w:rFonts w:ascii="Arial" w:hAnsi="Arial" w:cs="Arial"/>
          <w:sz w:val="22"/>
          <w:szCs w:val="22"/>
        </w:rPr>
        <w:t>H</w:t>
      </w:r>
      <w:r w:rsidRPr="000B12C7">
        <w:rPr>
          <w:rFonts w:ascii="Arial" w:hAnsi="Arial" w:cs="Arial"/>
          <w:sz w:val="22"/>
          <w:szCs w:val="22"/>
        </w:rPr>
        <w:t xml:space="preserve">OPPS setting to be eligible for device-intensive status under the ASC payment system. However, this methodology has caused confusion among stakeholders and has denied device-intensive status to procedures with significant device costs. </w:t>
      </w:r>
    </w:p>
    <w:p w14:paraId="09459CFC" w14:textId="77777777" w:rsidR="00AF68A7" w:rsidRDefault="00AF68A7" w:rsidP="00AF68A7">
      <w:pPr>
        <w:autoSpaceDE w:val="0"/>
        <w:autoSpaceDN w:val="0"/>
        <w:adjustRightInd w:val="0"/>
        <w:jc w:val="both"/>
        <w:rPr>
          <w:rFonts w:ascii="Arial" w:hAnsi="Arial" w:cs="Arial"/>
          <w:sz w:val="22"/>
          <w:szCs w:val="22"/>
        </w:rPr>
      </w:pPr>
    </w:p>
    <w:p w14:paraId="4EA426B2" w14:textId="5700AE4F" w:rsidR="00AF68A7" w:rsidRPr="00AF68A7" w:rsidRDefault="00AF68A7" w:rsidP="00AF68A7">
      <w:pPr>
        <w:autoSpaceDE w:val="0"/>
        <w:autoSpaceDN w:val="0"/>
        <w:adjustRightInd w:val="0"/>
        <w:jc w:val="both"/>
        <w:rPr>
          <w:rFonts w:ascii="Arial" w:hAnsi="Arial" w:cs="Arial"/>
          <w:b/>
          <w:bCs/>
          <w:sz w:val="22"/>
          <w:szCs w:val="22"/>
        </w:rPr>
      </w:pPr>
      <w:r w:rsidRPr="000B12C7">
        <w:rPr>
          <w:rFonts w:ascii="Arial" w:hAnsi="Arial" w:cs="Arial"/>
          <w:sz w:val="22"/>
          <w:szCs w:val="22"/>
        </w:rPr>
        <w:t xml:space="preserve">Therefore, for 2022 and subsequent years, </w:t>
      </w:r>
      <w:r w:rsidRPr="00AF68A7">
        <w:rPr>
          <w:rFonts w:ascii="Arial" w:hAnsi="Arial" w:cs="Arial"/>
          <w:b/>
          <w:bCs/>
          <w:sz w:val="22"/>
          <w:szCs w:val="22"/>
        </w:rPr>
        <w:t>CMS assign</w:t>
      </w:r>
      <w:r w:rsidR="00B4164C">
        <w:rPr>
          <w:rFonts w:ascii="Arial" w:hAnsi="Arial" w:cs="Arial"/>
          <w:b/>
          <w:bCs/>
          <w:sz w:val="22"/>
          <w:szCs w:val="22"/>
        </w:rPr>
        <w:t>s</w:t>
      </w:r>
      <w:r w:rsidRPr="00AF68A7">
        <w:rPr>
          <w:rFonts w:ascii="Arial" w:hAnsi="Arial" w:cs="Arial"/>
          <w:b/>
          <w:bCs/>
          <w:sz w:val="22"/>
          <w:szCs w:val="22"/>
        </w:rPr>
        <w:t xml:space="preserve"> device-intensive status to procedures that involve surgically inserted or implanted, high-cost, single-use devices to qualify as device-intensive procedures if their device offset percentage exceeds 30 percent under the ASC standard ratesetting methodology, even if the procedure is not designated as device-intensive under the HOPPS. </w:t>
      </w:r>
    </w:p>
    <w:p w14:paraId="0A6D4885" w14:textId="77777777" w:rsidR="00AF68A7" w:rsidRDefault="00AF68A7" w:rsidP="00AF68A7">
      <w:pPr>
        <w:autoSpaceDE w:val="0"/>
        <w:autoSpaceDN w:val="0"/>
        <w:adjustRightInd w:val="0"/>
        <w:jc w:val="both"/>
        <w:rPr>
          <w:rFonts w:ascii="Arial" w:hAnsi="Arial" w:cs="Arial"/>
          <w:sz w:val="22"/>
          <w:szCs w:val="22"/>
        </w:rPr>
      </w:pPr>
    </w:p>
    <w:p w14:paraId="1D83BF3B" w14:textId="77777777" w:rsidR="00AF68A7" w:rsidRDefault="00AF68A7" w:rsidP="00AF68A7">
      <w:pPr>
        <w:autoSpaceDE w:val="0"/>
        <w:autoSpaceDN w:val="0"/>
        <w:adjustRightInd w:val="0"/>
        <w:jc w:val="both"/>
        <w:rPr>
          <w:rFonts w:ascii="Arial" w:hAnsi="Arial" w:cs="Arial"/>
          <w:sz w:val="22"/>
          <w:szCs w:val="22"/>
        </w:rPr>
      </w:pPr>
      <w:r w:rsidRPr="000B12C7">
        <w:rPr>
          <w:rFonts w:ascii="Arial" w:hAnsi="Arial" w:cs="Arial"/>
          <w:sz w:val="22"/>
          <w:szCs w:val="22"/>
        </w:rPr>
        <w:t xml:space="preserve">Further, in situations where a procedure is designated as device-intensive under the </w:t>
      </w:r>
      <w:r>
        <w:rPr>
          <w:rFonts w:ascii="Arial" w:hAnsi="Arial" w:cs="Arial"/>
          <w:sz w:val="22"/>
          <w:szCs w:val="22"/>
        </w:rPr>
        <w:t>H</w:t>
      </w:r>
      <w:r w:rsidRPr="000B12C7">
        <w:rPr>
          <w:rFonts w:ascii="Arial" w:hAnsi="Arial" w:cs="Arial"/>
          <w:sz w:val="22"/>
          <w:szCs w:val="22"/>
        </w:rPr>
        <w:t xml:space="preserve">OPPS but the procedure’s device offset percentage is below the device-intensive threshold under the standard ASC ratesetting methodology, </w:t>
      </w:r>
      <w:r>
        <w:rPr>
          <w:rFonts w:ascii="Arial" w:hAnsi="Arial" w:cs="Arial"/>
          <w:sz w:val="22"/>
          <w:szCs w:val="22"/>
        </w:rPr>
        <w:t>CMS</w:t>
      </w:r>
      <w:r w:rsidRPr="000B12C7">
        <w:rPr>
          <w:rFonts w:ascii="Arial" w:hAnsi="Arial" w:cs="Arial"/>
          <w:sz w:val="22"/>
          <w:szCs w:val="22"/>
        </w:rPr>
        <w:t xml:space="preserve"> believe</w:t>
      </w:r>
      <w:r>
        <w:rPr>
          <w:rFonts w:ascii="Arial" w:hAnsi="Arial" w:cs="Arial"/>
          <w:sz w:val="22"/>
          <w:szCs w:val="22"/>
        </w:rPr>
        <w:t>s</w:t>
      </w:r>
      <w:r w:rsidRPr="000B12C7">
        <w:rPr>
          <w:rFonts w:ascii="Arial" w:hAnsi="Arial" w:cs="Arial"/>
          <w:sz w:val="22"/>
          <w:szCs w:val="22"/>
        </w:rPr>
        <w:t xml:space="preserve"> that deference should be given to the </w:t>
      </w:r>
      <w:r>
        <w:rPr>
          <w:rFonts w:ascii="Arial" w:hAnsi="Arial" w:cs="Arial"/>
          <w:sz w:val="22"/>
          <w:szCs w:val="22"/>
        </w:rPr>
        <w:t>H</w:t>
      </w:r>
      <w:r w:rsidRPr="000B12C7">
        <w:rPr>
          <w:rFonts w:ascii="Arial" w:hAnsi="Arial" w:cs="Arial"/>
          <w:sz w:val="22"/>
          <w:szCs w:val="22"/>
        </w:rPr>
        <w:t xml:space="preserve">OPPS designation to address this conflict in status. Since the comprehensive ratesetting methodology under the </w:t>
      </w:r>
      <w:r>
        <w:rPr>
          <w:rFonts w:ascii="Arial" w:hAnsi="Arial" w:cs="Arial"/>
          <w:sz w:val="22"/>
          <w:szCs w:val="22"/>
        </w:rPr>
        <w:t>H</w:t>
      </w:r>
      <w:r w:rsidRPr="000B12C7">
        <w:rPr>
          <w:rFonts w:ascii="Arial" w:hAnsi="Arial" w:cs="Arial"/>
          <w:sz w:val="22"/>
          <w:szCs w:val="22"/>
        </w:rPr>
        <w:t xml:space="preserve">OPPS packages a greater amount of non-device costs into the primary procedure and is typically able to use a greater number of claims in its ratesetting methodology, </w:t>
      </w:r>
      <w:r>
        <w:rPr>
          <w:rFonts w:ascii="Arial" w:hAnsi="Arial" w:cs="Arial"/>
          <w:sz w:val="22"/>
          <w:szCs w:val="22"/>
        </w:rPr>
        <w:t>CMS</w:t>
      </w:r>
      <w:r w:rsidRPr="000B12C7">
        <w:rPr>
          <w:rFonts w:ascii="Arial" w:hAnsi="Arial" w:cs="Arial"/>
          <w:sz w:val="22"/>
          <w:szCs w:val="22"/>
        </w:rPr>
        <w:t xml:space="preserve"> believe</w:t>
      </w:r>
      <w:r>
        <w:rPr>
          <w:rFonts w:ascii="Arial" w:hAnsi="Arial" w:cs="Arial"/>
          <w:sz w:val="22"/>
          <w:szCs w:val="22"/>
        </w:rPr>
        <w:t>s</w:t>
      </w:r>
      <w:r w:rsidRPr="000B12C7">
        <w:rPr>
          <w:rFonts w:ascii="Arial" w:hAnsi="Arial" w:cs="Arial"/>
          <w:sz w:val="22"/>
          <w:szCs w:val="22"/>
        </w:rPr>
        <w:t xml:space="preserve"> that if a device receives </w:t>
      </w:r>
      <w:r>
        <w:rPr>
          <w:rFonts w:ascii="Arial" w:hAnsi="Arial" w:cs="Arial"/>
          <w:sz w:val="22"/>
          <w:szCs w:val="22"/>
        </w:rPr>
        <w:t>H</w:t>
      </w:r>
      <w:r w:rsidRPr="000B12C7">
        <w:rPr>
          <w:rFonts w:ascii="Arial" w:hAnsi="Arial" w:cs="Arial"/>
          <w:sz w:val="22"/>
          <w:szCs w:val="22"/>
        </w:rPr>
        <w:t xml:space="preserve">OPPS device-intensive status, the device should also be device-intensive in the ASC setting, give that fewer non-device costs are generally packaged into a procedure’s cost under the ASC methodology compared to the </w:t>
      </w:r>
      <w:r>
        <w:rPr>
          <w:rFonts w:ascii="Arial" w:hAnsi="Arial" w:cs="Arial"/>
          <w:sz w:val="22"/>
          <w:szCs w:val="22"/>
        </w:rPr>
        <w:t>H</w:t>
      </w:r>
      <w:r w:rsidRPr="000B12C7">
        <w:rPr>
          <w:rFonts w:ascii="Arial" w:hAnsi="Arial" w:cs="Arial"/>
          <w:sz w:val="22"/>
          <w:szCs w:val="22"/>
        </w:rPr>
        <w:t xml:space="preserve">OPPS methodology. </w:t>
      </w:r>
    </w:p>
    <w:p w14:paraId="624BF4A7" w14:textId="77777777" w:rsidR="00AF68A7" w:rsidRDefault="00AF68A7" w:rsidP="00AF68A7">
      <w:pPr>
        <w:autoSpaceDE w:val="0"/>
        <w:autoSpaceDN w:val="0"/>
        <w:adjustRightInd w:val="0"/>
        <w:jc w:val="both"/>
        <w:rPr>
          <w:rFonts w:ascii="Arial" w:hAnsi="Arial" w:cs="Arial"/>
          <w:sz w:val="22"/>
          <w:szCs w:val="22"/>
        </w:rPr>
      </w:pPr>
    </w:p>
    <w:p w14:paraId="16F589AE" w14:textId="1AF8361F" w:rsidR="00AF68A7" w:rsidRDefault="00AF68A7" w:rsidP="00AF68A7">
      <w:pPr>
        <w:autoSpaceDE w:val="0"/>
        <w:autoSpaceDN w:val="0"/>
        <w:adjustRightInd w:val="0"/>
        <w:jc w:val="both"/>
        <w:rPr>
          <w:rFonts w:ascii="Arial" w:hAnsi="Arial" w:cs="Arial"/>
          <w:sz w:val="22"/>
          <w:szCs w:val="22"/>
        </w:rPr>
      </w:pPr>
      <w:r w:rsidRPr="000B12C7">
        <w:rPr>
          <w:rFonts w:ascii="Arial" w:hAnsi="Arial" w:cs="Arial"/>
          <w:sz w:val="22"/>
          <w:szCs w:val="22"/>
        </w:rPr>
        <w:t xml:space="preserve">Therefore, for CY 2022 and subsequent years, </w:t>
      </w:r>
      <w:r w:rsidRPr="00AF68A7">
        <w:rPr>
          <w:rFonts w:ascii="Arial" w:hAnsi="Arial" w:cs="Arial"/>
          <w:b/>
          <w:bCs/>
          <w:sz w:val="22"/>
          <w:szCs w:val="22"/>
        </w:rPr>
        <w:t xml:space="preserve">CMS </w:t>
      </w:r>
      <w:r w:rsidR="00B4164C">
        <w:rPr>
          <w:rFonts w:ascii="Arial" w:hAnsi="Arial" w:cs="Arial"/>
          <w:b/>
          <w:bCs/>
          <w:sz w:val="22"/>
          <w:szCs w:val="22"/>
        </w:rPr>
        <w:t xml:space="preserve">finalized the </w:t>
      </w:r>
      <w:r w:rsidRPr="00AF68A7">
        <w:rPr>
          <w:rFonts w:ascii="Arial" w:hAnsi="Arial" w:cs="Arial"/>
          <w:b/>
          <w:bCs/>
          <w:sz w:val="22"/>
          <w:szCs w:val="22"/>
        </w:rPr>
        <w:t>propos</w:t>
      </w:r>
      <w:r w:rsidR="00B4164C">
        <w:rPr>
          <w:rFonts w:ascii="Arial" w:hAnsi="Arial" w:cs="Arial"/>
          <w:b/>
          <w:bCs/>
          <w:sz w:val="22"/>
          <w:szCs w:val="22"/>
        </w:rPr>
        <w:t>al</w:t>
      </w:r>
      <w:r w:rsidRPr="00AF68A7">
        <w:rPr>
          <w:rFonts w:ascii="Arial" w:hAnsi="Arial" w:cs="Arial"/>
          <w:b/>
          <w:bCs/>
          <w:sz w:val="22"/>
          <w:szCs w:val="22"/>
        </w:rPr>
        <w:t xml:space="preserve"> that if a procedure is assigned device-intensive status under the HOPPS, but has a device offset percentage below the device-intensive threshold under the standard ASC ratesetting methodology, the procedure will be assigned device-intensive status under the ASC payment system with a default device offset percentage of 31 percent.</w:t>
      </w:r>
      <w:r w:rsidRPr="000B12C7">
        <w:rPr>
          <w:rFonts w:ascii="Arial" w:hAnsi="Arial" w:cs="Arial"/>
          <w:sz w:val="22"/>
          <w:szCs w:val="22"/>
        </w:rPr>
        <w:t xml:space="preserve"> </w:t>
      </w:r>
    </w:p>
    <w:p w14:paraId="64AF97F9" w14:textId="77777777" w:rsidR="00AF68A7" w:rsidRDefault="00AF68A7" w:rsidP="00AF68A7">
      <w:pPr>
        <w:autoSpaceDE w:val="0"/>
        <w:autoSpaceDN w:val="0"/>
        <w:adjustRightInd w:val="0"/>
        <w:jc w:val="both"/>
        <w:rPr>
          <w:rFonts w:ascii="Arial" w:hAnsi="Arial" w:cs="Arial"/>
          <w:sz w:val="22"/>
          <w:szCs w:val="22"/>
        </w:rPr>
      </w:pPr>
    </w:p>
    <w:p w14:paraId="734C4A58" w14:textId="6865D5F6" w:rsidR="000B12C7" w:rsidRPr="000B12C7" w:rsidRDefault="000B12C7" w:rsidP="00E25A73">
      <w:pPr>
        <w:autoSpaceDE w:val="0"/>
        <w:autoSpaceDN w:val="0"/>
        <w:adjustRightInd w:val="0"/>
        <w:jc w:val="both"/>
        <w:rPr>
          <w:rFonts w:ascii="Arial" w:hAnsi="Arial" w:cs="Arial"/>
          <w:sz w:val="22"/>
          <w:szCs w:val="22"/>
        </w:rPr>
      </w:pPr>
      <w:r w:rsidRPr="000B12C7">
        <w:rPr>
          <w:rFonts w:ascii="Arial" w:hAnsi="Arial" w:cs="Arial"/>
          <w:sz w:val="22"/>
          <w:szCs w:val="22"/>
        </w:rPr>
        <w:t xml:space="preserve">CMS proposes to update the ASC CPL to indicate procedures that are eligible for payment according to </w:t>
      </w:r>
      <w:r w:rsidR="00AF68A7">
        <w:rPr>
          <w:rFonts w:ascii="Arial" w:hAnsi="Arial" w:cs="Arial"/>
          <w:sz w:val="22"/>
          <w:szCs w:val="22"/>
        </w:rPr>
        <w:t>the</w:t>
      </w:r>
      <w:r w:rsidRPr="000B12C7">
        <w:rPr>
          <w:rFonts w:ascii="Arial" w:hAnsi="Arial" w:cs="Arial"/>
          <w:sz w:val="22"/>
          <w:szCs w:val="22"/>
        </w:rPr>
        <w:t xml:space="preserve"> device-intensive procedure payment methodology, based on the individual HCPCS code device-offset percentages using the</w:t>
      </w:r>
      <w:r w:rsidRPr="00AF68A7">
        <w:rPr>
          <w:rFonts w:ascii="Arial" w:hAnsi="Arial" w:cs="Arial"/>
          <w:b/>
          <w:bCs/>
          <w:sz w:val="22"/>
          <w:szCs w:val="22"/>
        </w:rPr>
        <w:t xml:space="preserve"> </w:t>
      </w:r>
      <w:r w:rsidRPr="00B4164C">
        <w:rPr>
          <w:rFonts w:ascii="Arial" w:hAnsi="Arial" w:cs="Arial"/>
          <w:sz w:val="22"/>
          <w:szCs w:val="22"/>
        </w:rPr>
        <w:t>2019 HOPPS claims</w:t>
      </w:r>
      <w:r w:rsidRPr="000B12C7">
        <w:rPr>
          <w:rFonts w:ascii="Arial" w:hAnsi="Arial" w:cs="Arial"/>
          <w:sz w:val="22"/>
          <w:szCs w:val="22"/>
        </w:rPr>
        <w:t xml:space="preserve"> and cost report data available for the CY 2022 HOPPS/ASC </w:t>
      </w:r>
      <w:r w:rsidR="001526E4">
        <w:rPr>
          <w:rFonts w:ascii="Arial" w:hAnsi="Arial" w:cs="Arial"/>
          <w:sz w:val="22"/>
          <w:szCs w:val="22"/>
        </w:rPr>
        <w:t>final</w:t>
      </w:r>
      <w:r w:rsidRPr="000B12C7">
        <w:rPr>
          <w:rFonts w:ascii="Arial" w:hAnsi="Arial" w:cs="Arial"/>
          <w:sz w:val="22"/>
          <w:szCs w:val="22"/>
        </w:rPr>
        <w:t xml:space="preserve"> rule.</w:t>
      </w:r>
    </w:p>
    <w:p w14:paraId="20B21C7C" w14:textId="6BFB84B4" w:rsidR="00756380" w:rsidRDefault="00756380" w:rsidP="00E25A73">
      <w:pPr>
        <w:autoSpaceDE w:val="0"/>
        <w:autoSpaceDN w:val="0"/>
        <w:adjustRightInd w:val="0"/>
        <w:jc w:val="both"/>
        <w:rPr>
          <w:rFonts w:ascii="Arial" w:hAnsi="Arial" w:cs="Arial"/>
          <w:sz w:val="22"/>
          <w:szCs w:val="22"/>
        </w:rPr>
      </w:pPr>
    </w:p>
    <w:p w14:paraId="5091693C" w14:textId="243D2C51" w:rsidR="00B86612" w:rsidRDefault="00814D2B" w:rsidP="00DA7F9C">
      <w:pPr>
        <w:jc w:val="both"/>
        <w:rPr>
          <w:rFonts w:ascii="Arial" w:eastAsia="MS Mincho" w:hAnsi="Arial" w:cs="Arial"/>
          <w:b/>
          <w:sz w:val="22"/>
          <w:szCs w:val="22"/>
          <w:lang w:eastAsia="ja-JP"/>
        </w:rPr>
      </w:pPr>
      <w:r w:rsidRPr="000A60F6">
        <w:rPr>
          <w:rFonts w:ascii="Arial" w:eastAsia="MS Mincho" w:hAnsi="Arial" w:cs="Arial"/>
          <w:b/>
          <w:sz w:val="22"/>
          <w:szCs w:val="22"/>
          <w:lang w:eastAsia="ja-JP"/>
        </w:rPr>
        <w:t xml:space="preserve">CMS </w:t>
      </w:r>
      <w:r w:rsidR="00E25A73" w:rsidRPr="000A60F6">
        <w:rPr>
          <w:rFonts w:ascii="Arial" w:eastAsia="MS Mincho" w:hAnsi="Arial" w:cs="Arial"/>
          <w:b/>
          <w:sz w:val="22"/>
          <w:szCs w:val="22"/>
          <w:lang w:eastAsia="ja-JP"/>
        </w:rPr>
        <w:t>maintains</w:t>
      </w:r>
      <w:r w:rsidRPr="000A60F6">
        <w:rPr>
          <w:rFonts w:ascii="Arial" w:eastAsia="MS Mincho" w:hAnsi="Arial" w:cs="Arial"/>
          <w:b/>
          <w:sz w:val="22"/>
          <w:szCs w:val="22"/>
          <w:lang w:eastAsia="ja-JP"/>
        </w:rPr>
        <w:t xml:space="preserve"> </w:t>
      </w:r>
      <w:r w:rsidR="00FC0CA7">
        <w:rPr>
          <w:rFonts w:ascii="Arial" w:eastAsia="MS Mincho" w:hAnsi="Arial" w:cs="Arial"/>
          <w:b/>
          <w:sz w:val="22"/>
          <w:szCs w:val="22"/>
          <w:lang w:eastAsia="ja-JP"/>
        </w:rPr>
        <w:t xml:space="preserve">CPT 19296 </w:t>
      </w:r>
      <w:r w:rsidRPr="000A60F6">
        <w:rPr>
          <w:rFonts w:ascii="Arial" w:eastAsia="MS Mincho" w:hAnsi="Arial" w:cs="Arial"/>
          <w:b/>
          <w:sz w:val="22"/>
          <w:szCs w:val="22"/>
          <w:lang w:eastAsia="ja-JP"/>
        </w:rPr>
        <w:t xml:space="preserve">breast brachytherapy </w:t>
      </w:r>
      <w:r w:rsidR="0065720E">
        <w:rPr>
          <w:rFonts w:ascii="Arial" w:eastAsia="MS Mincho" w:hAnsi="Arial" w:cs="Arial"/>
          <w:b/>
          <w:sz w:val="22"/>
          <w:szCs w:val="22"/>
          <w:lang w:eastAsia="ja-JP"/>
        </w:rPr>
        <w:t xml:space="preserve">balloon </w:t>
      </w:r>
      <w:r w:rsidRPr="000A60F6">
        <w:rPr>
          <w:rFonts w:ascii="Arial" w:eastAsia="MS Mincho" w:hAnsi="Arial" w:cs="Arial"/>
          <w:b/>
          <w:sz w:val="22"/>
          <w:szCs w:val="22"/>
          <w:lang w:eastAsia="ja-JP"/>
        </w:rPr>
        <w:t>catheter placement</w:t>
      </w:r>
      <w:r w:rsidR="000B12C7">
        <w:rPr>
          <w:rFonts w:ascii="Arial" w:eastAsia="MS Mincho" w:hAnsi="Arial" w:cs="Arial"/>
          <w:b/>
          <w:sz w:val="22"/>
          <w:szCs w:val="22"/>
          <w:lang w:eastAsia="ja-JP"/>
        </w:rPr>
        <w:t>,</w:t>
      </w:r>
      <w:r w:rsidR="00E25A73" w:rsidRPr="000A60F6">
        <w:rPr>
          <w:rFonts w:ascii="Arial" w:eastAsia="MS Mincho" w:hAnsi="Arial" w:cs="Arial"/>
          <w:b/>
          <w:sz w:val="22"/>
          <w:szCs w:val="22"/>
          <w:lang w:eastAsia="ja-JP"/>
        </w:rPr>
        <w:t xml:space="preserve"> </w:t>
      </w:r>
      <w:r w:rsidR="00DA7F9C">
        <w:rPr>
          <w:rFonts w:ascii="Arial" w:eastAsia="MS Mincho" w:hAnsi="Arial" w:cs="Arial"/>
          <w:b/>
          <w:sz w:val="22"/>
          <w:szCs w:val="22"/>
          <w:lang w:eastAsia="ja-JP"/>
        </w:rPr>
        <w:t xml:space="preserve">CPT 55874 Peri-prostatic implantation of biodegradable material </w:t>
      </w:r>
      <w:r w:rsidR="00DA7F9C" w:rsidRPr="000B12C7">
        <w:rPr>
          <w:rFonts w:ascii="Arial" w:eastAsia="MS Mincho" w:hAnsi="Arial" w:cs="Arial"/>
          <w:b/>
          <w:sz w:val="22"/>
          <w:szCs w:val="22"/>
          <w:lang w:eastAsia="ja-JP"/>
        </w:rPr>
        <w:t>and</w:t>
      </w:r>
      <w:r w:rsidR="00DA7F9C">
        <w:rPr>
          <w:rFonts w:ascii="Arial" w:eastAsia="MS Mincho" w:hAnsi="Arial" w:cs="Arial"/>
          <w:b/>
          <w:sz w:val="22"/>
          <w:szCs w:val="22"/>
          <w:lang w:eastAsia="ja-JP"/>
        </w:rPr>
        <w:t xml:space="preserve"> HCPCS code C9728 Place f</w:t>
      </w:r>
      <w:r w:rsidR="00DA7F9C" w:rsidRPr="000A60F6">
        <w:rPr>
          <w:rFonts w:ascii="Arial" w:eastAsia="MS Mincho" w:hAnsi="Arial" w:cs="Arial"/>
          <w:b/>
          <w:sz w:val="22"/>
          <w:szCs w:val="22"/>
          <w:lang w:eastAsia="ja-JP"/>
        </w:rPr>
        <w:t xml:space="preserve">iducial marker/dosimeter </w:t>
      </w:r>
      <w:r w:rsidR="00DA7F9C">
        <w:rPr>
          <w:rFonts w:ascii="Arial" w:eastAsia="MS Mincho" w:hAnsi="Arial" w:cs="Arial"/>
          <w:b/>
          <w:sz w:val="22"/>
          <w:szCs w:val="22"/>
          <w:lang w:eastAsia="ja-JP"/>
        </w:rPr>
        <w:t xml:space="preserve">as device-intensive </w:t>
      </w:r>
      <w:r w:rsidR="000B12C7" w:rsidRPr="000A60F6">
        <w:rPr>
          <w:rFonts w:ascii="Arial" w:eastAsia="MS Mincho" w:hAnsi="Arial" w:cs="Arial"/>
          <w:b/>
          <w:sz w:val="22"/>
          <w:szCs w:val="22"/>
          <w:lang w:eastAsia="ja-JP"/>
        </w:rPr>
        <w:t>and subject to the device-intensive procedure payment methodology</w:t>
      </w:r>
      <w:r w:rsidR="000B12C7">
        <w:rPr>
          <w:rFonts w:ascii="Arial" w:eastAsia="MS Mincho" w:hAnsi="Arial" w:cs="Arial"/>
          <w:b/>
          <w:sz w:val="22"/>
          <w:szCs w:val="22"/>
          <w:lang w:eastAsia="ja-JP"/>
        </w:rPr>
        <w:t xml:space="preserve"> </w:t>
      </w:r>
      <w:r w:rsidR="00DA7F9C">
        <w:rPr>
          <w:rFonts w:ascii="Arial" w:eastAsia="MS Mincho" w:hAnsi="Arial" w:cs="Arial"/>
          <w:b/>
          <w:sz w:val="22"/>
          <w:szCs w:val="22"/>
          <w:lang w:eastAsia="ja-JP"/>
        </w:rPr>
        <w:t>for 202</w:t>
      </w:r>
      <w:r w:rsidR="00C74372">
        <w:rPr>
          <w:rFonts w:ascii="Arial" w:eastAsia="MS Mincho" w:hAnsi="Arial" w:cs="Arial"/>
          <w:b/>
          <w:sz w:val="22"/>
          <w:szCs w:val="22"/>
          <w:lang w:eastAsia="ja-JP"/>
        </w:rPr>
        <w:t>2</w:t>
      </w:r>
      <w:r w:rsidR="00DA7F9C">
        <w:rPr>
          <w:rFonts w:ascii="Arial" w:eastAsia="MS Mincho" w:hAnsi="Arial" w:cs="Arial"/>
          <w:b/>
          <w:sz w:val="22"/>
          <w:szCs w:val="22"/>
          <w:lang w:eastAsia="ja-JP"/>
        </w:rPr>
        <w:t xml:space="preserve">. </w:t>
      </w:r>
      <w:r w:rsidR="00AC4576" w:rsidRPr="000A60F6">
        <w:rPr>
          <w:rFonts w:ascii="Arial" w:eastAsia="MS Mincho" w:hAnsi="Arial" w:cs="Arial"/>
          <w:sz w:val="22"/>
          <w:szCs w:val="22"/>
          <w:lang w:eastAsia="ja-JP"/>
        </w:rPr>
        <w:t>ASC covered device-intensive procedures are subject to the no cost/full credit and partial credit device adjustment policy.</w:t>
      </w:r>
      <w:r w:rsidR="00AC4576" w:rsidRPr="000A60F6">
        <w:rPr>
          <w:rFonts w:ascii="Arial" w:eastAsia="MS Mincho" w:hAnsi="Arial" w:cs="Arial"/>
          <w:b/>
          <w:sz w:val="22"/>
          <w:szCs w:val="22"/>
          <w:lang w:eastAsia="ja-JP"/>
        </w:rPr>
        <w:t xml:space="preserve">  </w:t>
      </w:r>
    </w:p>
    <w:p w14:paraId="757F0EEA" w14:textId="77777777" w:rsidR="00D1494E" w:rsidRDefault="00D1494E" w:rsidP="0076293C">
      <w:pPr>
        <w:autoSpaceDE w:val="0"/>
        <w:autoSpaceDN w:val="0"/>
        <w:adjustRightInd w:val="0"/>
        <w:jc w:val="both"/>
        <w:rPr>
          <w:rFonts w:ascii="Arial" w:eastAsia="MS Mincho" w:hAnsi="Arial" w:cs="Arial"/>
          <w:b/>
          <w:sz w:val="22"/>
          <w:szCs w:val="22"/>
          <w:lang w:eastAsia="ja-JP"/>
        </w:rPr>
      </w:pPr>
    </w:p>
    <w:p w14:paraId="5A22B400" w14:textId="77777777" w:rsidR="00CB57F4" w:rsidRPr="00C6682F" w:rsidRDefault="00CB57F4" w:rsidP="00E44C88">
      <w:pPr>
        <w:pStyle w:val="BodyText"/>
        <w:jc w:val="both"/>
        <w:rPr>
          <w:u w:val="single"/>
        </w:rPr>
      </w:pPr>
      <w:r w:rsidRPr="00F33DA4">
        <w:rPr>
          <w:u w:val="single"/>
        </w:rPr>
        <w:lastRenderedPageBreak/>
        <w:t>ASC Payment for Covered Surgical Procedures</w:t>
      </w:r>
    </w:p>
    <w:p w14:paraId="00603E98" w14:textId="77777777" w:rsidR="00CB57F4" w:rsidRPr="00C6682F" w:rsidRDefault="00CB57F4" w:rsidP="00E44C88">
      <w:pPr>
        <w:pStyle w:val="BodyText2"/>
        <w:jc w:val="both"/>
      </w:pPr>
    </w:p>
    <w:p w14:paraId="074DF17D" w14:textId="0DA0A651" w:rsidR="00933CCB" w:rsidRPr="00C6682F" w:rsidRDefault="00214DD2" w:rsidP="00E44C88">
      <w:pPr>
        <w:pStyle w:val="BodyText2"/>
        <w:jc w:val="both"/>
      </w:pPr>
      <w:r w:rsidRPr="00C6682F">
        <w:t>CMS update</w:t>
      </w:r>
      <w:r w:rsidR="00210F67" w:rsidRPr="00C6682F">
        <w:t>s</w:t>
      </w:r>
      <w:r w:rsidRPr="00C6682F">
        <w:t xml:space="preserve"> ASC payment rates for 20</w:t>
      </w:r>
      <w:r w:rsidR="00535982">
        <w:t>2</w:t>
      </w:r>
      <w:r w:rsidR="00F33DA4">
        <w:t>2</w:t>
      </w:r>
      <w:r w:rsidRPr="00C6682F">
        <w:t xml:space="preserve"> using established rate methodologies</w:t>
      </w:r>
      <w:r w:rsidR="009F50F6" w:rsidRPr="00C6682F">
        <w:t xml:space="preserve"> and a modified definition for device-intensive procedures</w:t>
      </w:r>
      <w:r w:rsidRPr="00C6682F">
        <w:t xml:space="preserve">. </w:t>
      </w:r>
      <w:r w:rsidR="00933CCB" w:rsidRPr="00C6682F">
        <w:t xml:space="preserve">Because the HOPPS relative payment weights </w:t>
      </w:r>
      <w:r w:rsidR="009F50F6" w:rsidRPr="00C6682F">
        <w:t xml:space="preserve">are based on </w:t>
      </w:r>
      <w:r w:rsidR="00933CCB" w:rsidRPr="00C6682F">
        <w:t>geometric mean costs, the ASC system w</w:t>
      </w:r>
      <w:r w:rsidR="009F50F6" w:rsidRPr="00C6682F">
        <w:t>ill use</w:t>
      </w:r>
      <w:r w:rsidR="00933CCB" w:rsidRPr="00C6682F">
        <w:t xml:space="preserve"> geometric means to determine relative payment weights under the ASC standard ratesetting methodology</w:t>
      </w:r>
      <w:r w:rsidR="009F50F6" w:rsidRPr="00C6682F">
        <w:t>.</w:t>
      </w:r>
    </w:p>
    <w:p w14:paraId="5435F897" w14:textId="77777777" w:rsidR="00933CCB" w:rsidRPr="00C6682F" w:rsidRDefault="00933CCB" w:rsidP="00E44C88">
      <w:pPr>
        <w:pStyle w:val="BodyText2"/>
        <w:jc w:val="both"/>
      </w:pPr>
    </w:p>
    <w:p w14:paraId="358E9934" w14:textId="77777777" w:rsidR="00CB57F4" w:rsidRPr="00C6682F" w:rsidRDefault="00CB57F4" w:rsidP="00E44C88">
      <w:pPr>
        <w:pStyle w:val="BodyText2"/>
        <w:jc w:val="both"/>
      </w:pPr>
      <w:r w:rsidRPr="00C6682F">
        <w:t xml:space="preserve">CMS </w:t>
      </w:r>
      <w:r w:rsidR="00C84C56" w:rsidRPr="00C6682F">
        <w:t>continues to</w:t>
      </w:r>
      <w:r w:rsidRPr="00C6682F">
        <w:t xml:space="preserve"> update payment rates for procedures with payment indicator</w:t>
      </w:r>
      <w:r w:rsidR="00DA6DEB" w:rsidRPr="00C6682F">
        <w:t>s "A2" and</w:t>
      </w:r>
      <w:r w:rsidRPr="00C6682F">
        <w:t xml:space="preserve"> “G2” according to the standard methodology of multiplying the relative payment weight for the procedure by the ASC conversion factor.</w:t>
      </w:r>
    </w:p>
    <w:p w14:paraId="7E4A1A4E" w14:textId="77777777" w:rsidR="00045984" w:rsidRDefault="00045984" w:rsidP="00E44C88">
      <w:pPr>
        <w:pStyle w:val="BodyText2"/>
        <w:jc w:val="both"/>
      </w:pPr>
    </w:p>
    <w:p w14:paraId="7E053FEE" w14:textId="6BED00F1" w:rsidR="00CB57F4" w:rsidRPr="00C6682F" w:rsidRDefault="00CB57F4" w:rsidP="00E44C88">
      <w:pPr>
        <w:pStyle w:val="BodyText2"/>
        <w:jc w:val="both"/>
      </w:pPr>
      <w:r w:rsidRPr="00C6682F">
        <w:t xml:space="preserve">CMS </w:t>
      </w:r>
      <w:r w:rsidR="00C84C56" w:rsidRPr="00C6682F">
        <w:t>continues to update</w:t>
      </w:r>
      <w:r w:rsidRPr="00C6682F">
        <w:t xml:space="preserve"> payment rates for office-based procedures (payment indicators “P2,” “P3,” and “R2”)</w:t>
      </w:r>
      <w:r w:rsidR="00AC245B" w:rsidRPr="00C6682F">
        <w:t xml:space="preserve"> </w:t>
      </w:r>
      <w:r w:rsidRPr="00C6682F">
        <w:t xml:space="preserve">at the lesser of the MPFS nonfacility </w:t>
      </w:r>
      <w:r w:rsidR="009D27A6" w:rsidRPr="00C6682F">
        <w:t xml:space="preserve">practice expense </w:t>
      </w:r>
      <w:r w:rsidR="00D37817" w:rsidRPr="00C6682F">
        <w:t>relative value units (</w:t>
      </w:r>
      <w:r w:rsidRPr="00C6682F">
        <w:t>RVU</w:t>
      </w:r>
      <w:r w:rsidR="009D27A6" w:rsidRPr="00C6682F">
        <w:t>s</w:t>
      </w:r>
      <w:r w:rsidR="00D37817" w:rsidRPr="00C6682F">
        <w:t>)</w:t>
      </w:r>
      <w:r w:rsidRPr="00C6682F">
        <w:t xml:space="preserve"> or the</w:t>
      </w:r>
      <w:r w:rsidR="00AC245B" w:rsidRPr="00C6682F">
        <w:t xml:space="preserve"> </w:t>
      </w:r>
      <w:r w:rsidRPr="00C6682F">
        <w:t>AS</w:t>
      </w:r>
      <w:r w:rsidR="000500D5" w:rsidRPr="00C6682F">
        <w:t>C</w:t>
      </w:r>
      <w:r w:rsidRPr="00C6682F">
        <w:t xml:space="preserve"> payment </w:t>
      </w:r>
      <w:r w:rsidR="00C001DC" w:rsidRPr="00C6682F">
        <w:t>rate</w:t>
      </w:r>
      <w:r w:rsidRPr="00C6682F">
        <w:t>.</w:t>
      </w:r>
    </w:p>
    <w:p w14:paraId="2A7278FC" w14:textId="77777777" w:rsidR="00214DD2" w:rsidRPr="00C6682F" w:rsidRDefault="00214DD2" w:rsidP="00E44C88">
      <w:pPr>
        <w:autoSpaceDE w:val="0"/>
        <w:autoSpaceDN w:val="0"/>
        <w:adjustRightInd w:val="0"/>
        <w:jc w:val="both"/>
        <w:rPr>
          <w:rFonts w:ascii="Arial" w:hAnsi="Arial" w:cs="Arial"/>
          <w:sz w:val="22"/>
          <w:szCs w:val="22"/>
        </w:rPr>
      </w:pPr>
    </w:p>
    <w:p w14:paraId="04982834" w14:textId="6E92DBD5" w:rsidR="00407EBB" w:rsidRPr="00541C1A" w:rsidRDefault="00F33DA4" w:rsidP="000500D5">
      <w:pPr>
        <w:autoSpaceDE w:val="0"/>
        <w:autoSpaceDN w:val="0"/>
        <w:adjustRightInd w:val="0"/>
        <w:jc w:val="both"/>
        <w:rPr>
          <w:rFonts w:ascii="Arial" w:eastAsia="MS Mincho" w:hAnsi="Arial" w:cs="Arial"/>
          <w:b/>
          <w:bCs/>
          <w:sz w:val="22"/>
          <w:szCs w:val="22"/>
          <w:lang w:eastAsia="ja-JP"/>
        </w:rPr>
      </w:pPr>
      <w:r w:rsidRPr="00541C1A">
        <w:rPr>
          <w:rFonts w:ascii="Arial" w:hAnsi="Arial" w:cs="Arial"/>
          <w:b/>
          <w:bCs/>
          <w:sz w:val="22"/>
          <w:szCs w:val="22"/>
        </w:rPr>
        <w:t xml:space="preserve">For device-intensive procedures (payment indicator “J8”), </w:t>
      </w:r>
      <w:r w:rsidR="00933CCB" w:rsidRPr="00541C1A">
        <w:rPr>
          <w:rFonts w:ascii="Arial" w:hAnsi="Arial" w:cs="Arial"/>
          <w:b/>
          <w:bCs/>
          <w:sz w:val="22"/>
          <w:szCs w:val="22"/>
        </w:rPr>
        <w:t xml:space="preserve">CMS </w:t>
      </w:r>
      <w:r w:rsidRPr="00541C1A">
        <w:rPr>
          <w:rFonts w:ascii="Arial" w:hAnsi="Arial" w:cs="Arial"/>
          <w:b/>
          <w:bCs/>
          <w:sz w:val="22"/>
          <w:szCs w:val="22"/>
        </w:rPr>
        <w:t>update</w:t>
      </w:r>
      <w:r w:rsidR="002D0C15">
        <w:rPr>
          <w:rFonts w:ascii="Arial" w:hAnsi="Arial" w:cs="Arial"/>
          <w:b/>
          <w:bCs/>
          <w:sz w:val="22"/>
          <w:szCs w:val="22"/>
        </w:rPr>
        <w:t>s</w:t>
      </w:r>
      <w:r w:rsidRPr="00541C1A">
        <w:rPr>
          <w:rFonts w:ascii="Arial" w:hAnsi="Arial" w:cs="Arial"/>
          <w:b/>
          <w:bCs/>
          <w:sz w:val="22"/>
          <w:szCs w:val="22"/>
        </w:rPr>
        <w:t xml:space="preserve"> the payment </w:t>
      </w:r>
      <w:r w:rsidR="00737BC9" w:rsidRPr="00541C1A">
        <w:rPr>
          <w:rFonts w:ascii="Arial" w:eastAsia="MS Mincho" w:hAnsi="Arial" w:cs="Arial"/>
          <w:b/>
          <w:bCs/>
          <w:sz w:val="22"/>
          <w:szCs w:val="22"/>
          <w:lang w:eastAsia="ja-JP"/>
        </w:rPr>
        <w:t>amount for the service portion of the device-intensive procedures</w:t>
      </w:r>
      <w:r w:rsidRPr="00541C1A">
        <w:rPr>
          <w:rFonts w:ascii="Arial" w:eastAsia="MS Mincho" w:hAnsi="Arial" w:cs="Arial"/>
          <w:b/>
          <w:bCs/>
          <w:sz w:val="22"/>
          <w:szCs w:val="22"/>
          <w:lang w:eastAsia="ja-JP"/>
        </w:rPr>
        <w:t xml:space="preserve"> using the standard ASC ratesetting methodology and the payment</w:t>
      </w:r>
      <w:r w:rsidR="000500D5" w:rsidRPr="00541C1A">
        <w:rPr>
          <w:rFonts w:ascii="Arial" w:eastAsia="MS Mincho" w:hAnsi="Arial" w:cs="Arial"/>
          <w:b/>
          <w:bCs/>
          <w:sz w:val="22"/>
          <w:szCs w:val="22"/>
          <w:lang w:eastAsia="ja-JP"/>
        </w:rPr>
        <w:t xml:space="preserve"> amount for the </w:t>
      </w:r>
      <w:r w:rsidR="00610156" w:rsidRPr="00541C1A">
        <w:rPr>
          <w:rFonts w:ascii="Arial" w:eastAsia="MS Mincho" w:hAnsi="Arial" w:cs="Arial"/>
          <w:b/>
          <w:bCs/>
          <w:sz w:val="22"/>
          <w:szCs w:val="22"/>
          <w:lang w:eastAsia="ja-JP"/>
        </w:rPr>
        <w:t>device portion based on the 20</w:t>
      </w:r>
      <w:r w:rsidR="00535982" w:rsidRPr="00541C1A">
        <w:rPr>
          <w:rFonts w:ascii="Arial" w:eastAsia="MS Mincho" w:hAnsi="Arial" w:cs="Arial"/>
          <w:b/>
          <w:bCs/>
          <w:sz w:val="22"/>
          <w:szCs w:val="22"/>
          <w:lang w:eastAsia="ja-JP"/>
        </w:rPr>
        <w:t>2</w:t>
      </w:r>
      <w:r w:rsidRPr="00541C1A">
        <w:rPr>
          <w:rFonts w:ascii="Arial" w:eastAsia="MS Mincho" w:hAnsi="Arial" w:cs="Arial"/>
          <w:b/>
          <w:bCs/>
          <w:sz w:val="22"/>
          <w:szCs w:val="22"/>
          <w:lang w:eastAsia="ja-JP"/>
        </w:rPr>
        <w:t>2</w:t>
      </w:r>
      <w:r w:rsidR="000500D5" w:rsidRPr="00541C1A">
        <w:rPr>
          <w:rFonts w:ascii="Arial" w:eastAsia="MS Mincho" w:hAnsi="Arial" w:cs="Arial"/>
          <w:b/>
          <w:bCs/>
          <w:sz w:val="22"/>
          <w:szCs w:val="22"/>
          <w:lang w:eastAsia="ja-JP"/>
        </w:rPr>
        <w:t xml:space="preserve"> device offset percentages that have been calculated using the standard HOPPS APC ratesetting methodology.</w:t>
      </w:r>
    </w:p>
    <w:p w14:paraId="5316A50C" w14:textId="77777777" w:rsidR="00045984" w:rsidRDefault="00045984" w:rsidP="002B73C3">
      <w:pPr>
        <w:rPr>
          <w:rFonts w:ascii="Arial" w:hAnsi="Arial" w:cs="Arial"/>
          <w:b/>
          <w:bCs/>
          <w:sz w:val="22"/>
          <w:szCs w:val="22"/>
          <w:u w:val="single"/>
        </w:rPr>
      </w:pPr>
    </w:p>
    <w:p w14:paraId="19ECCE28" w14:textId="0C911DC4" w:rsidR="00541C1A" w:rsidRDefault="00541C1A">
      <w:pPr>
        <w:rPr>
          <w:rFonts w:ascii="Arial" w:hAnsi="Arial" w:cs="Arial"/>
          <w:b/>
          <w:bCs/>
          <w:sz w:val="22"/>
          <w:szCs w:val="22"/>
          <w:u w:val="single"/>
        </w:rPr>
      </w:pPr>
      <w:r>
        <w:rPr>
          <w:rFonts w:ascii="Arial" w:hAnsi="Arial" w:cs="Arial"/>
          <w:b/>
          <w:bCs/>
          <w:sz w:val="22"/>
          <w:szCs w:val="22"/>
          <w:u w:val="single"/>
        </w:rPr>
        <w:t>ASC Payment Rates for Procedures Assigned to Low Volume ASCs</w:t>
      </w:r>
    </w:p>
    <w:p w14:paraId="19921787" w14:textId="77777777" w:rsidR="00541C1A" w:rsidRDefault="00541C1A">
      <w:pPr>
        <w:rPr>
          <w:rFonts w:ascii="Arial" w:hAnsi="Arial" w:cs="Arial"/>
          <w:b/>
          <w:bCs/>
          <w:sz w:val="22"/>
          <w:szCs w:val="22"/>
          <w:u w:val="single"/>
        </w:rPr>
      </w:pPr>
    </w:p>
    <w:p w14:paraId="0900CF82" w14:textId="77777777" w:rsidR="00541C1A" w:rsidRDefault="00541C1A" w:rsidP="00541C1A">
      <w:pPr>
        <w:jc w:val="both"/>
        <w:rPr>
          <w:rFonts w:ascii="Arial" w:hAnsi="Arial" w:cs="Arial"/>
          <w:sz w:val="22"/>
          <w:szCs w:val="22"/>
        </w:rPr>
      </w:pPr>
      <w:r>
        <w:rPr>
          <w:rFonts w:ascii="Arial" w:hAnsi="Arial" w:cs="Arial"/>
          <w:sz w:val="22"/>
          <w:szCs w:val="22"/>
        </w:rPr>
        <w:t>T</w:t>
      </w:r>
      <w:r w:rsidRPr="00541C1A">
        <w:rPr>
          <w:rFonts w:ascii="Arial" w:hAnsi="Arial" w:cs="Arial"/>
          <w:sz w:val="22"/>
          <w:szCs w:val="22"/>
        </w:rPr>
        <w:t xml:space="preserve">he ASC payment system generally uses </w:t>
      </w:r>
      <w:r>
        <w:rPr>
          <w:rFonts w:ascii="Arial" w:hAnsi="Arial" w:cs="Arial"/>
          <w:sz w:val="22"/>
          <w:szCs w:val="22"/>
        </w:rPr>
        <w:t>H</w:t>
      </w:r>
      <w:r w:rsidRPr="00541C1A">
        <w:rPr>
          <w:rFonts w:ascii="Arial" w:hAnsi="Arial" w:cs="Arial"/>
          <w:sz w:val="22"/>
          <w:szCs w:val="22"/>
        </w:rPr>
        <w:t>OPPS geometric mean costs under the standard methodology to determine proposed relative payment weights under the standard ASC ratesetting methodology. However, for low-volume device-intensive procedures, the relative payment weights are based on median costs, rather than geometric mean costs</w:t>
      </w:r>
      <w:r>
        <w:rPr>
          <w:rFonts w:ascii="Arial" w:hAnsi="Arial" w:cs="Arial"/>
          <w:sz w:val="22"/>
          <w:szCs w:val="22"/>
        </w:rPr>
        <w:t>.</w:t>
      </w:r>
      <w:r w:rsidRPr="00541C1A">
        <w:rPr>
          <w:rFonts w:ascii="Arial" w:hAnsi="Arial" w:cs="Arial"/>
          <w:sz w:val="22"/>
          <w:szCs w:val="22"/>
        </w:rPr>
        <w:t xml:space="preserve"> </w:t>
      </w:r>
    </w:p>
    <w:p w14:paraId="24F3990E" w14:textId="77777777" w:rsidR="00FC0CA7" w:rsidRDefault="00FC0CA7" w:rsidP="00541C1A">
      <w:pPr>
        <w:jc w:val="both"/>
        <w:rPr>
          <w:rFonts w:ascii="Arial" w:hAnsi="Arial" w:cs="Arial"/>
          <w:sz w:val="22"/>
          <w:szCs w:val="22"/>
        </w:rPr>
      </w:pPr>
    </w:p>
    <w:p w14:paraId="01255EC6" w14:textId="1F205AE5" w:rsidR="00541C1A" w:rsidRDefault="00541C1A" w:rsidP="00541C1A">
      <w:pPr>
        <w:jc w:val="both"/>
        <w:rPr>
          <w:rFonts w:ascii="Arial" w:hAnsi="Arial" w:cs="Arial"/>
          <w:sz w:val="22"/>
          <w:szCs w:val="22"/>
        </w:rPr>
      </w:pPr>
      <w:r w:rsidRPr="00541C1A">
        <w:rPr>
          <w:rFonts w:ascii="Arial" w:hAnsi="Arial" w:cs="Arial"/>
          <w:sz w:val="22"/>
          <w:szCs w:val="22"/>
        </w:rPr>
        <w:t xml:space="preserve">In the 2020 </w:t>
      </w:r>
      <w:r>
        <w:rPr>
          <w:rFonts w:ascii="Arial" w:hAnsi="Arial" w:cs="Arial"/>
          <w:sz w:val="22"/>
          <w:szCs w:val="22"/>
        </w:rPr>
        <w:t>H</w:t>
      </w:r>
      <w:r w:rsidRPr="00541C1A">
        <w:rPr>
          <w:rFonts w:ascii="Arial" w:hAnsi="Arial" w:cs="Arial"/>
          <w:sz w:val="22"/>
          <w:szCs w:val="22"/>
        </w:rPr>
        <w:t xml:space="preserve">OPPS/ASC final rule, </w:t>
      </w:r>
      <w:r>
        <w:rPr>
          <w:rFonts w:ascii="Arial" w:hAnsi="Arial" w:cs="Arial"/>
          <w:sz w:val="22"/>
          <w:szCs w:val="22"/>
        </w:rPr>
        <w:t>CMS</w:t>
      </w:r>
      <w:r w:rsidRPr="00541C1A">
        <w:rPr>
          <w:rFonts w:ascii="Arial" w:hAnsi="Arial" w:cs="Arial"/>
          <w:sz w:val="22"/>
          <w:szCs w:val="22"/>
        </w:rPr>
        <w:t xml:space="preserve"> finalized </w:t>
      </w:r>
      <w:r>
        <w:rPr>
          <w:rFonts w:ascii="Arial" w:hAnsi="Arial" w:cs="Arial"/>
          <w:sz w:val="22"/>
          <w:szCs w:val="22"/>
        </w:rPr>
        <w:t>the</w:t>
      </w:r>
      <w:r w:rsidRPr="00541C1A">
        <w:rPr>
          <w:rFonts w:ascii="Arial" w:hAnsi="Arial" w:cs="Arial"/>
          <w:sz w:val="22"/>
          <w:szCs w:val="22"/>
        </w:rPr>
        <w:t xml:space="preserve"> policy to limit the ASC payment rate for low-volume device-intensive procedures to a payment rate equal to the </w:t>
      </w:r>
      <w:r>
        <w:rPr>
          <w:rFonts w:ascii="Arial" w:hAnsi="Arial" w:cs="Arial"/>
          <w:sz w:val="22"/>
          <w:szCs w:val="22"/>
        </w:rPr>
        <w:t>H</w:t>
      </w:r>
      <w:r w:rsidRPr="00541C1A">
        <w:rPr>
          <w:rFonts w:ascii="Arial" w:hAnsi="Arial" w:cs="Arial"/>
          <w:sz w:val="22"/>
          <w:szCs w:val="22"/>
        </w:rPr>
        <w:t>OPPS payment rate for that procedure. Under this policy, where the ASC payment rate based on the standard ASC ratesetting methodology for low volume device</w:t>
      </w:r>
      <w:r>
        <w:rPr>
          <w:rFonts w:ascii="Arial" w:hAnsi="Arial" w:cs="Arial"/>
          <w:sz w:val="22"/>
          <w:szCs w:val="22"/>
        </w:rPr>
        <w:t>-</w:t>
      </w:r>
      <w:r w:rsidRPr="00541C1A">
        <w:rPr>
          <w:rFonts w:ascii="Arial" w:hAnsi="Arial" w:cs="Arial"/>
          <w:sz w:val="22"/>
          <w:szCs w:val="22"/>
        </w:rPr>
        <w:t xml:space="preserve">intensive procedures would exceed the rate paid under the </w:t>
      </w:r>
      <w:r>
        <w:rPr>
          <w:rFonts w:ascii="Arial" w:hAnsi="Arial" w:cs="Arial"/>
          <w:sz w:val="22"/>
          <w:szCs w:val="22"/>
        </w:rPr>
        <w:t>H</w:t>
      </w:r>
      <w:r w:rsidRPr="00541C1A">
        <w:rPr>
          <w:rFonts w:ascii="Arial" w:hAnsi="Arial" w:cs="Arial"/>
          <w:sz w:val="22"/>
          <w:szCs w:val="22"/>
        </w:rPr>
        <w:t xml:space="preserve">OPPS for the same procedure, </w:t>
      </w:r>
      <w:r>
        <w:rPr>
          <w:rFonts w:ascii="Arial" w:hAnsi="Arial" w:cs="Arial"/>
          <w:sz w:val="22"/>
          <w:szCs w:val="22"/>
        </w:rPr>
        <w:t>CMS</w:t>
      </w:r>
      <w:r w:rsidRPr="00541C1A">
        <w:rPr>
          <w:rFonts w:ascii="Arial" w:hAnsi="Arial" w:cs="Arial"/>
          <w:sz w:val="22"/>
          <w:szCs w:val="22"/>
        </w:rPr>
        <w:t xml:space="preserve"> establish</w:t>
      </w:r>
      <w:r>
        <w:rPr>
          <w:rFonts w:ascii="Arial" w:hAnsi="Arial" w:cs="Arial"/>
          <w:sz w:val="22"/>
          <w:szCs w:val="22"/>
        </w:rPr>
        <w:t>es</w:t>
      </w:r>
      <w:r w:rsidRPr="00541C1A">
        <w:rPr>
          <w:rFonts w:ascii="Arial" w:hAnsi="Arial" w:cs="Arial"/>
          <w:sz w:val="22"/>
          <w:szCs w:val="22"/>
        </w:rPr>
        <w:t xml:space="preserve"> an ASC payment rate for such procedures equal to the </w:t>
      </w:r>
      <w:r>
        <w:rPr>
          <w:rFonts w:ascii="Arial" w:hAnsi="Arial" w:cs="Arial"/>
          <w:sz w:val="22"/>
          <w:szCs w:val="22"/>
        </w:rPr>
        <w:t>H</w:t>
      </w:r>
      <w:r w:rsidRPr="00541C1A">
        <w:rPr>
          <w:rFonts w:ascii="Arial" w:hAnsi="Arial" w:cs="Arial"/>
          <w:sz w:val="22"/>
          <w:szCs w:val="22"/>
        </w:rPr>
        <w:t xml:space="preserve">OPPS payment rate for the same procedure. </w:t>
      </w:r>
    </w:p>
    <w:p w14:paraId="647CBFC0" w14:textId="77777777" w:rsidR="00541C1A" w:rsidRDefault="00541C1A" w:rsidP="00541C1A">
      <w:pPr>
        <w:jc w:val="both"/>
        <w:rPr>
          <w:rFonts w:ascii="Arial" w:hAnsi="Arial" w:cs="Arial"/>
          <w:sz w:val="22"/>
          <w:szCs w:val="22"/>
        </w:rPr>
      </w:pPr>
    </w:p>
    <w:p w14:paraId="48AA0057" w14:textId="68E38690" w:rsidR="00FC0CA7" w:rsidRDefault="00D228BB" w:rsidP="00541C1A">
      <w:pPr>
        <w:jc w:val="both"/>
        <w:rPr>
          <w:rFonts w:ascii="Arial" w:hAnsi="Arial" w:cs="Arial"/>
          <w:sz w:val="22"/>
          <w:szCs w:val="22"/>
        </w:rPr>
      </w:pPr>
      <w:r w:rsidRPr="00D228BB">
        <w:rPr>
          <w:rFonts w:ascii="Arial" w:hAnsi="Arial" w:cs="Arial"/>
          <w:b/>
          <w:bCs/>
          <w:sz w:val="22"/>
          <w:szCs w:val="22"/>
        </w:rPr>
        <w:t>Effective January 1, 2022,</w:t>
      </w:r>
      <w:r>
        <w:rPr>
          <w:b/>
          <w:bCs/>
        </w:rPr>
        <w:t xml:space="preserve"> </w:t>
      </w:r>
      <w:r w:rsidR="00541C1A" w:rsidRPr="00541C1A">
        <w:rPr>
          <w:rFonts w:ascii="Arial" w:hAnsi="Arial" w:cs="Arial"/>
          <w:b/>
          <w:bCs/>
          <w:sz w:val="22"/>
          <w:szCs w:val="22"/>
        </w:rPr>
        <w:t>CMS</w:t>
      </w:r>
      <w:r w:rsidR="002D0C15">
        <w:rPr>
          <w:rFonts w:ascii="Arial" w:hAnsi="Arial" w:cs="Arial"/>
          <w:b/>
          <w:bCs/>
          <w:sz w:val="22"/>
          <w:szCs w:val="22"/>
        </w:rPr>
        <w:t xml:space="preserve"> finalized the </w:t>
      </w:r>
      <w:r w:rsidR="00541C1A" w:rsidRPr="00541C1A">
        <w:rPr>
          <w:rFonts w:ascii="Arial" w:hAnsi="Arial" w:cs="Arial"/>
          <w:b/>
          <w:bCs/>
          <w:sz w:val="22"/>
          <w:szCs w:val="22"/>
        </w:rPr>
        <w:t>propos</w:t>
      </w:r>
      <w:r w:rsidR="002D0C15">
        <w:rPr>
          <w:rFonts w:ascii="Arial" w:hAnsi="Arial" w:cs="Arial"/>
          <w:b/>
          <w:bCs/>
          <w:sz w:val="22"/>
          <w:szCs w:val="22"/>
        </w:rPr>
        <w:t>al to establish</w:t>
      </w:r>
      <w:r w:rsidR="00541C1A" w:rsidRPr="00541C1A">
        <w:rPr>
          <w:rFonts w:ascii="Arial" w:hAnsi="Arial" w:cs="Arial"/>
          <w:b/>
          <w:bCs/>
          <w:sz w:val="22"/>
          <w:szCs w:val="22"/>
        </w:rPr>
        <w:t xml:space="preserve"> a </w:t>
      </w:r>
      <w:r>
        <w:rPr>
          <w:rFonts w:ascii="Arial" w:hAnsi="Arial" w:cs="Arial"/>
          <w:b/>
          <w:bCs/>
          <w:sz w:val="22"/>
          <w:szCs w:val="22"/>
        </w:rPr>
        <w:t>L</w:t>
      </w:r>
      <w:r w:rsidR="00541C1A" w:rsidRPr="00541C1A">
        <w:rPr>
          <w:rFonts w:ascii="Arial" w:hAnsi="Arial" w:cs="Arial"/>
          <w:b/>
          <w:bCs/>
          <w:sz w:val="22"/>
          <w:szCs w:val="22"/>
        </w:rPr>
        <w:t xml:space="preserve">ow </w:t>
      </w:r>
      <w:r>
        <w:rPr>
          <w:rFonts w:ascii="Arial" w:hAnsi="Arial" w:cs="Arial"/>
          <w:b/>
          <w:bCs/>
          <w:sz w:val="22"/>
          <w:szCs w:val="22"/>
        </w:rPr>
        <w:t>V</w:t>
      </w:r>
      <w:r w:rsidR="00541C1A" w:rsidRPr="00541C1A">
        <w:rPr>
          <w:rFonts w:ascii="Arial" w:hAnsi="Arial" w:cs="Arial"/>
          <w:b/>
          <w:bCs/>
          <w:sz w:val="22"/>
          <w:szCs w:val="22"/>
        </w:rPr>
        <w:t xml:space="preserve">olume APC policy for 2022 and subsequent calendar years. </w:t>
      </w:r>
      <w:r w:rsidR="00541C1A" w:rsidRPr="00D228BB">
        <w:rPr>
          <w:rFonts w:ascii="Arial" w:hAnsi="Arial" w:cs="Arial"/>
          <w:sz w:val="22"/>
          <w:szCs w:val="22"/>
        </w:rPr>
        <w:t xml:space="preserve">Under </w:t>
      </w:r>
      <w:r w:rsidR="00FC0CA7" w:rsidRPr="00D228BB">
        <w:rPr>
          <w:rFonts w:ascii="Arial" w:hAnsi="Arial" w:cs="Arial"/>
          <w:sz w:val="22"/>
          <w:szCs w:val="22"/>
        </w:rPr>
        <w:t>the</w:t>
      </w:r>
      <w:r w:rsidR="00541C1A" w:rsidRPr="00D228BB">
        <w:rPr>
          <w:rFonts w:ascii="Arial" w:hAnsi="Arial" w:cs="Arial"/>
          <w:sz w:val="22"/>
          <w:szCs w:val="22"/>
        </w:rPr>
        <w:t xml:space="preserve"> p</w:t>
      </w:r>
      <w:r w:rsidR="002D0C15" w:rsidRPr="00D228BB">
        <w:rPr>
          <w:rFonts w:ascii="Arial" w:hAnsi="Arial" w:cs="Arial"/>
          <w:sz w:val="22"/>
          <w:szCs w:val="22"/>
        </w:rPr>
        <w:t>olicy</w:t>
      </w:r>
      <w:r w:rsidR="00541C1A" w:rsidRPr="00D228BB">
        <w:rPr>
          <w:rFonts w:ascii="Arial" w:hAnsi="Arial" w:cs="Arial"/>
          <w:sz w:val="22"/>
          <w:szCs w:val="22"/>
        </w:rPr>
        <w:t xml:space="preserve">, a clinical APC, brachytherapy APC, or new technology APC with fewer than 100 claims per year would be designated as a </w:t>
      </w:r>
      <w:r w:rsidRPr="00D228BB">
        <w:rPr>
          <w:rFonts w:ascii="Arial" w:hAnsi="Arial" w:cs="Arial"/>
          <w:sz w:val="22"/>
          <w:szCs w:val="22"/>
        </w:rPr>
        <w:t>L</w:t>
      </w:r>
      <w:r w:rsidR="00541C1A" w:rsidRPr="00D228BB">
        <w:rPr>
          <w:rFonts w:ascii="Arial" w:hAnsi="Arial" w:cs="Arial"/>
          <w:sz w:val="22"/>
          <w:szCs w:val="22"/>
        </w:rPr>
        <w:t xml:space="preserve">ow </w:t>
      </w:r>
      <w:r w:rsidRPr="00D228BB">
        <w:rPr>
          <w:rFonts w:ascii="Arial" w:hAnsi="Arial" w:cs="Arial"/>
          <w:sz w:val="22"/>
          <w:szCs w:val="22"/>
        </w:rPr>
        <w:t>V</w:t>
      </w:r>
      <w:r w:rsidR="00541C1A" w:rsidRPr="00D228BB">
        <w:rPr>
          <w:rFonts w:ascii="Arial" w:hAnsi="Arial" w:cs="Arial"/>
          <w:sz w:val="22"/>
          <w:szCs w:val="22"/>
        </w:rPr>
        <w:t>olume APC. For items and services assigned to APCs that CMS designate</w:t>
      </w:r>
      <w:r w:rsidRPr="00D228BB">
        <w:rPr>
          <w:rFonts w:ascii="Arial" w:hAnsi="Arial" w:cs="Arial"/>
          <w:sz w:val="22"/>
          <w:szCs w:val="22"/>
        </w:rPr>
        <w:t>s</w:t>
      </w:r>
      <w:r w:rsidR="00541C1A" w:rsidRPr="00D228BB">
        <w:rPr>
          <w:rFonts w:ascii="Arial" w:hAnsi="Arial" w:cs="Arial"/>
          <w:sz w:val="22"/>
          <w:szCs w:val="22"/>
        </w:rPr>
        <w:t xml:space="preserve"> as </w:t>
      </w:r>
      <w:r w:rsidRPr="00D228BB">
        <w:rPr>
          <w:rFonts w:ascii="Arial" w:hAnsi="Arial" w:cs="Arial"/>
          <w:sz w:val="22"/>
          <w:szCs w:val="22"/>
        </w:rPr>
        <w:t>L</w:t>
      </w:r>
      <w:r w:rsidR="00541C1A" w:rsidRPr="00D228BB">
        <w:rPr>
          <w:rFonts w:ascii="Arial" w:hAnsi="Arial" w:cs="Arial"/>
          <w:sz w:val="22"/>
          <w:szCs w:val="22"/>
        </w:rPr>
        <w:t xml:space="preserve">ow </w:t>
      </w:r>
      <w:r w:rsidRPr="00D228BB">
        <w:rPr>
          <w:rFonts w:ascii="Arial" w:hAnsi="Arial" w:cs="Arial"/>
          <w:sz w:val="22"/>
          <w:szCs w:val="22"/>
        </w:rPr>
        <w:t>V</w:t>
      </w:r>
      <w:r w:rsidR="00541C1A" w:rsidRPr="00D228BB">
        <w:rPr>
          <w:rFonts w:ascii="Arial" w:hAnsi="Arial" w:cs="Arial"/>
          <w:sz w:val="22"/>
          <w:szCs w:val="22"/>
        </w:rPr>
        <w:t xml:space="preserve">olume APCs, the Agency </w:t>
      </w:r>
      <w:r w:rsidRPr="00D228BB">
        <w:rPr>
          <w:rFonts w:ascii="Arial" w:hAnsi="Arial" w:cs="Arial"/>
          <w:sz w:val="22"/>
          <w:szCs w:val="22"/>
        </w:rPr>
        <w:t>will</w:t>
      </w:r>
      <w:r w:rsidR="00541C1A" w:rsidRPr="00D228BB">
        <w:rPr>
          <w:rFonts w:ascii="Arial" w:hAnsi="Arial" w:cs="Arial"/>
          <w:sz w:val="22"/>
          <w:szCs w:val="22"/>
        </w:rPr>
        <w:t xml:space="preserve"> use up to 4 years of claims data to establish a payment rate for each item or service</w:t>
      </w:r>
      <w:r w:rsidR="00541C1A" w:rsidRPr="00541C1A">
        <w:rPr>
          <w:rFonts w:ascii="Arial" w:hAnsi="Arial" w:cs="Arial"/>
          <w:sz w:val="22"/>
          <w:szCs w:val="22"/>
        </w:rPr>
        <w:t xml:space="preserve"> as </w:t>
      </w:r>
      <w:r w:rsidR="00541C1A">
        <w:rPr>
          <w:rFonts w:ascii="Arial" w:hAnsi="Arial" w:cs="Arial"/>
          <w:sz w:val="22"/>
          <w:szCs w:val="22"/>
        </w:rPr>
        <w:t>they</w:t>
      </w:r>
      <w:r w:rsidR="00541C1A" w:rsidRPr="00541C1A">
        <w:rPr>
          <w:rFonts w:ascii="Arial" w:hAnsi="Arial" w:cs="Arial"/>
          <w:sz w:val="22"/>
          <w:szCs w:val="22"/>
        </w:rPr>
        <w:t xml:space="preserve"> currently do for low volume services assigned to New Technology APCs. </w:t>
      </w:r>
      <w:r w:rsidR="00541C1A" w:rsidRPr="00D228BB">
        <w:rPr>
          <w:rFonts w:ascii="Arial" w:hAnsi="Arial" w:cs="Arial"/>
          <w:sz w:val="22"/>
          <w:szCs w:val="22"/>
        </w:rPr>
        <w:t xml:space="preserve">The payment rate for a </w:t>
      </w:r>
      <w:r w:rsidRPr="00D228BB">
        <w:rPr>
          <w:rFonts w:ascii="Arial" w:hAnsi="Arial" w:cs="Arial"/>
          <w:sz w:val="22"/>
          <w:szCs w:val="22"/>
        </w:rPr>
        <w:t>L</w:t>
      </w:r>
      <w:r w:rsidR="00541C1A" w:rsidRPr="00D228BB">
        <w:rPr>
          <w:rFonts w:ascii="Arial" w:hAnsi="Arial" w:cs="Arial"/>
          <w:sz w:val="22"/>
          <w:szCs w:val="22"/>
        </w:rPr>
        <w:t xml:space="preserve">ow </w:t>
      </w:r>
      <w:r w:rsidRPr="00D228BB">
        <w:rPr>
          <w:rFonts w:ascii="Arial" w:hAnsi="Arial" w:cs="Arial"/>
          <w:sz w:val="22"/>
          <w:szCs w:val="22"/>
        </w:rPr>
        <w:t>V</w:t>
      </w:r>
      <w:r w:rsidR="00541C1A" w:rsidRPr="00D228BB">
        <w:rPr>
          <w:rFonts w:ascii="Arial" w:hAnsi="Arial" w:cs="Arial"/>
          <w:sz w:val="22"/>
          <w:szCs w:val="22"/>
        </w:rPr>
        <w:t>olume APC would be based on the highest of the median cost, arithmetic mean cost, or geometric mean cost calculated using multiple years of claims data.</w:t>
      </w:r>
      <w:r w:rsidR="00541C1A" w:rsidRPr="00541C1A">
        <w:rPr>
          <w:rFonts w:ascii="Arial" w:hAnsi="Arial" w:cs="Arial"/>
          <w:sz w:val="22"/>
          <w:szCs w:val="22"/>
        </w:rPr>
        <w:t xml:space="preserve"> </w:t>
      </w:r>
    </w:p>
    <w:p w14:paraId="5D889D5D" w14:textId="77777777" w:rsidR="00FC0CA7" w:rsidRDefault="00FC0CA7" w:rsidP="00541C1A">
      <w:pPr>
        <w:jc w:val="both"/>
        <w:rPr>
          <w:rFonts w:ascii="Arial" w:hAnsi="Arial" w:cs="Arial"/>
          <w:sz w:val="22"/>
          <w:szCs w:val="22"/>
        </w:rPr>
      </w:pPr>
    </w:p>
    <w:p w14:paraId="2B11BA64" w14:textId="22F8D084" w:rsidR="00720A64" w:rsidRPr="00D228BB" w:rsidRDefault="00541C1A" w:rsidP="00541C1A">
      <w:pPr>
        <w:jc w:val="both"/>
        <w:rPr>
          <w:rFonts w:ascii="Arial" w:hAnsi="Arial" w:cs="Arial"/>
          <w:sz w:val="22"/>
          <w:szCs w:val="22"/>
        </w:rPr>
      </w:pPr>
      <w:r w:rsidRPr="00250174">
        <w:rPr>
          <w:rFonts w:ascii="Arial" w:hAnsi="Arial" w:cs="Arial"/>
          <w:b/>
          <w:bCs/>
          <w:sz w:val="22"/>
          <w:szCs w:val="22"/>
        </w:rPr>
        <w:t>Because CMS is adopt</w:t>
      </w:r>
      <w:r w:rsidR="002D0C15">
        <w:rPr>
          <w:rFonts w:ascii="Arial" w:hAnsi="Arial" w:cs="Arial"/>
          <w:b/>
          <w:bCs/>
          <w:sz w:val="22"/>
          <w:szCs w:val="22"/>
        </w:rPr>
        <w:t>ing</w:t>
      </w:r>
      <w:r w:rsidRPr="00250174">
        <w:rPr>
          <w:rFonts w:ascii="Arial" w:hAnsi="Arial" w:cs="Arial"/>
          <w:b/>
          <w:bCs/>
          <w:sz w:val="22"/>
          <w:szCs w:val="22"/>
        </w:rPr>
        <w:t xml:space="preserve"> a </w:t>
      </w:r>
      <w:r w:rsidR="00D228BB">
        <w:rPr>
          <w:rFonts w:ascii="Arial" w:hAnsi="Arial" w:cs="Arial"/>
          <w:b/>
          <w:bCs/>
          <w:sz w:val="22"/>
          <w:szCs w:val="22"/>
        </w:rPr>
        <w:t>L</w:t>
      </w:r>
      <w:r w:rsidRPr="00250174">
        <w:rPr>
          <w:rFonts w:ascii="Arial" w:hAnsi="Arial" w:cs="Arial"/>
          <w:b/>
          <w:bCs/>
          <w:sz w:val="22"/>
          <w:szCs w:val="22"/>
        </w:rPr>
        <w:t xml:space="preserve">ow </w:t>
      </w:r>
      <w:r w:rsidR="00D228BB">
        <w:rPr>
          <w:rFonts w:ascii="Arial" w:hAnsi="Arial" w:cs="Arial"/>
          <w:b/>
          <w:bCs/>
          <w:sz w:val="22"/>
          <w:szCs w:val="22"/>
        </w:rPr>
        <w:t>V</w:t>
      </w:r>
      <w:r w:rsidRPr="00250174">
        <w:rPr>
          <w:rFonts w:ascii="Arial" w:hAnsi="Arial" w:cs="Arial"/>
          <w:b/>
          <w:bCs/>
          <w:sz w:val="22"/>
          <w:szCs w:val="22"/>
        </w:rPr>
        <w:t xml:space="preserve">olume APC policy, they also </w:t>
      </w:r>
      <w:r w:rsidR="002D0C15">
        <w:rPr>
          <w:rFonts w:ascii="Arial" w:hAnsi="Arial" w:cs="Arial"/>
          <w:b/>
          <w:bCs/>
          <w:sz w:val="22"/>
          <w:szCs w:val="22"/>
        </w:rPr>
        <w:t xml:space="preserve">finalized their </w:t>
      </w:r>
      <w:r w:rsidRPr="00250174">
        <w:rPr>
          <w:rFonts w:ascii="Arial" w:hAnsi="Arial" w:cs="Arial"/>
          <w:b/>
          <w:bCs/>
          <w:sz w:val="22"/>
          <w:szCs w:val="22"/>
        </w:rPr>
        <w:t>propos</w:t>
      </w:r>
      <w:r w:rsidR="002D0C15">
        <w:rPr>
          <w:rFonts w:ascii="Arial" w:hAnsi="Arial" w:cs="Arial"/>
          <w:b/>
          <w:bCs/>
          <w:sz w:val="22"/>
          <w:szCs w:val="22"/>
        </w:rPr>
        <w:t>al</w:t>
      </w:r>
      <w:r w:rsidRPr="00250174">
        <w:rPr>
          <w:rFonts w:ascii="Arial" w:hAnsi="Arial" w:cs="Arial"/>
          <w:b/>
          <w:bCs/>
          <w:sz w:val="22"/>
          <w:szCs w:val="22"/>
        </w:rPr>
        <w:t xml:space="preserve"> to eliminate the low volume device-intensive procedure policy.</w:t>
      </w:r>
      <w:r w:rsidRPr="00541C1A">
        <w:rPr>
          <w:rFonts w:ascii="Arial" w:hAnsi="Arial" w:cs="Arial"/>
          <w:sz w:val="22"/>
          <w:szCs w:val="22"/>
        </w:rPr>
        <w:t xml:space="preserve"> Consequently, </w:t>
      </w:r>
      <w:r w:rsidRPr="00D228BB">
        <w:rPr>
          <w:rFonts w:ascii="Arial" w:hAnsi="Arial" w:cs="Arial"/>
          <w:sz w:val="22"/>
          <w:szCs w:val="22"/>
        </w:rPr>
        <w:t>CMS modif</w:t>
      </w:r>
      <w:r w:rsidR="00641CA5" w:rsidRPr="00D228BB">
        <w:rPr>
          <w:rFonts w:ascii="Arial" w:hAnsi="Arial" w:cs="Arial"/>
          <w:sz w:val="22"/>
          <w:szCs w:val="22"/>
        </w:rPr>
        <w:t>ied</w:t>
      </w:r>
      <w:r w:rsidRPr="00D228BB">
        <w:rPr>
          <w:rFonts w:ascii="Arial" w:hAnsi="Arial" w:cs="Arial"/>
          <w:sz w:val="22"/>
          <w:szCs w:val="22"/>
        </w:rPr>
        <w:t xml:space="preserve"> </w:t>
      </w:r>
      <w:r w:rsidR="00250174" w:rsidRPr="00D228BB">
        <w:rPr>
          <w:rFonts w:ascii="Arial" w:hAnsi="Arial" w:cs="Arial"/>
          <w:sz w:val="22"/>
          <w:szCs w:val="22"/>
        </w:rPr>
        <w:t>the</w:t>
      </w:r>
      <w:r w:rsidRPr="00D228BB">
        <w:rPr>
          <w:rFonts w:ascii="Arial" w:hAnsi="Arial" w:cs="Arial"/>
          <w:sz w:val="22"/>
          <w:szCs w:val="22"/>
        </w:rPr>
        <w:t xml:space="preserve"> existing regulations to apply their ASC payment rate limitation to services assigned to </w:t>
      </w:r>
      <w:r w:rsidR="00D228BB" w:rsidRPr="00D228BB">
        <w:rPr>
          <w:rFonts w:ascii="Arial" w:hAnsi="Arial" w:cs="Arial"/>
          <w:sz w:val="22"/>
          <w:szCs w:val="22"/>
        </w:rPr>
        <w:t>L</w:t>
      </w:r>
      <w:r w:rsidRPr="00D228BB">
        <w:rPr>
          <w:rFonts w:ascii="Arial" w:hAnsi="Arial" w:cs="Arial"/>
          <w:sz w:val="22"/>
          <w:szCs w:val="22"/>
        </w:rPr>
        <w:t xml:space="preserve">ow </w:t>
      </w:r>
      <w:r w:rsidR="00D228BB" w:rsidRPr="00D228BB">
        <w:rPr>
          <w:rFonts w:ascii="Arial" w:hAnsi="Arial" w:cs="Arial"/>
          <w:sz w:val="22"/>
          <w:szCs w:val="22"/>
        </w:rPr>
        <w:t>V</w:t>
      </w:r>
      <w:r w:rsidRPr="00D228BB">
        <w:rPr>
          <w:rFonts w:ascii="Arial" w:hAnsi="Arial" w:cs="Arial"/>
          <w:sz w:val="22"/>
          <w:szCs w:val="22"/>
        </w:rPr>
        <w:t>olume APCs rather than low volume device-intensive procedures.</w:t>
      </w:r>
    </w:p>
    <w:p w14:paraId="425974FE" w14:textId="77777777" w:rsidR="00720A64" w:rsidRDefault="00720A64" w:rsidP="00541C1A">
      <w:pPr>
        <w:jc w:val="both"/>
        <w:rPr>
          <w:rFonts w:ascii="Arial" w:hAnsi="Arial" w:cs="Arial"/>
          <w:sz w:val="22"/>
          <w:szCs w:val="22"/>
        </w:rPr>
      </w:pPr>
    </w:p>
    <w:p w14:paraId="3833027A" w14:textId="77777777" w:rsidR="00641CA5" w:rsidRDefault="00641CA5">
      <w:pPr>
        <w:rPr>
          <w:rFonts w:ascii="Arial" w:hAnsi="Arial" w:cs="Arial"/>
          <w:b/>
          <w:bCs/>
          <w:sz w:val="22"/>
          <w:szCs w:val="22"/>
        </w:rPr>
      </w:pPr>
      <w:r>
        <w:rPr>
          <w:rFonts w:ascii="Arial" w:hAnsi="Arial" w:cs="Arial"/>
          <w:b/>
          <w:bCs/>
          <w:sz w:val="22"/>
          <w:szCs w:val="22"/>
        </w:rPr>
        <w:br w:type="page"/>
      </w:r>
    </w:p>
    <w:p w14:paraId="768D9DE1" w14:textId="618A661B" w:rsidR="002D0C15" w:rsidRPr="00D34F8A" w:rsidRDefault="002D0C15" w:rsidP="002D0C15">
      <w:pPr>
        <w:pStyle w:val="Header"/>
        <w:tabs>
          <w:tab w:val="clear" w:pos="4320"/>
          <w:tab w:val="clear" w:pos="8640"/>
        </w:tabs>
        <w:jc w:val="both"/>
        <w:rPr>
          <w:rFonts w:ascii="Arial" w:hAnsi="Arial" w:cs="Arial"/>
          <w:b/>
          <w:bCs/>
          <w:sz w:val="22"/>
          <w:szCs w:val="22"/>
        </w:rPr>
      </w:pPr>
      <w:r w:rsidRPr="00FF221A">
        <w:rPr>
          <w:rFonts w:ascii="Arial" w:hAnsi="Arial" w:cs="Arial"/>
          <w:b/>
          <w:bCs/>
          <w:sz w:val="22"/>
          <w:szCs w:val="22"/>
        </w:rPr>
        <w:lastRenderedPageBreak/>
        <w:t xml:space="preserve">This </w:t>
      </w:r>
      <w:r w:rsidR="00D228BB">
        <w:rPr>
          <w:rFonts w:ascii="Arial" w:hAnsi="Arial" w:cs="Arial"/>
          <w:b/>
          <w:bCs/>
          <w:sz w:val="22"/>
          <w:szCs w:val="22"/>
        </w:rPr>
        <w:t xml:space="preserve">Low Volume APC </w:t>
      </w:r>
      <w:r w:rsidRPr="00FF221A">
        <w:rPr>
          <w:rFonts w:ascii="Arial" w:hAnsi="Arial" w:cs="Arial"/>
          <w:b/>
          <w:bCs/>
          <w:sz w:val="22"/>
          <w:szCs w:val="22"/>
        </w:rPr>
        <w:t>policy includes the following brachytherapy sources:</w:t>
      </w:r>
    </w:p>
    <w:p w14:paraId="31EEBBEC" w14:textId="77777777" w:rsidR="002D0C15" w:rsidRDefault="002D0C15" w:rsidP="002D0C15">
      <w:pPr>
        <w:pStyle w:val="Header"/>
        <w:tabs>
          <w:tab w:val="clear" w:pos="4320"/>
          <w:tab w:val="clear" w:pos="8640"/>
        </w:tabs>
        <w:jc w:val="both"/>
        <w:rPr>
          <w:rFonts w:ascii="Arial" w:hAnsi="Arial" w:cs="Arial"/>
          <w:sz w:val="22"/>
          <w:szCs w:val="22"/>
        </w:rPr>
      </w:pPr>
    </w:p>
    <w:p w14:paraId="2EAC17E4" w14:textId="77777777" w:rsidR="002D0C15" w:rsidRDefault="002D0C15" w:rsidP="002D0C15">
      <w:pPr>
        <w:pStyle w:val="Header"/>
        <w:numPr>
          <w:ilvl w:val="0"/>
          <w:numId w:val="26"/>
        </w:numPr>
        <w:tabs>
          <w:tab w:val="clear" w:pos="4320"/>
          <w:tab w:val="clear" w:pos="8640"/>
        </w:tabs>
        <w:jc w:val="both"/>
        <w:rPr>
          <w:rFonts w:ascii="Arial" w:hAnsi="Arial" w:cs="Arial"/>
          <w:sz w:val="22"/>
          <w:szCs w:val="22"/>
        </w:rPr>
      </w:pPr>
      <w:r w:rsidRPr="00D34F8A">
        <w:rPr>
          <w:rFonts w:ascii="Arial" w:hAnsi="Arial" w:cs="Arial"/>
          <w:sz w:val="22"/>
          <w:szCs w:val="22"/>
        </w:rPr>
        <w:t>A9527 (APC 2632)</w:t>
      </w:r>
      <w:r>
        <w:rPr>
          <w:rFonts w:ascii="Arial" w:hAnsi="Arial" w:cs="Arial"/>
          <w:sz w:val="22"/>
          <w:szCs w:val="22"/>
        </w:rPr>
        <w:t xml:space="preserve"> Iodine-125, sodium iodide solution, therapeutic, per millicurie</w:t>
      </w:r>
    </w:p>
    <w:p w14:paraId="1B1D406D" w14:textId="77777777" w:rsidR="002D0C15" w:rsidRDefault="002D0C15" w:rsidP="002D0C15">
      <w:pPr>
        <w:pStyle w:val="Header"/>
        <w:numPr>
          <w:ilvl w:val="0"/>
          <w:numId w:val="26"/>
        </w:numPr>
        <w:tabs>
          <w:tab w:val="clear" w:pos="4320"/>
          <w:tab w:val="clear" w:pos="8640"/>
        </w:tabs>
        <w:jc w:val="both"/>
        <w:rPr>
          <w:rFonts w:ascii="Arial" w:hAnsi="Arial" w:cs="Arial"/>
          <w:sz w:val="22"/>
          <w:szCs w:val="22"/>
        </w:rPr>
      </w:pPr>
      <w:r>
        <w:rPr>
          <w:rFonts w:ascii="Arial" w:hAnsi="Arial" w:cs="Arial"/>
          <w:sz w:val="22"/>
          <w:szCs w:val="22"/>
        </w:rPr>
        <w:t>C2635 (APC 2635) Brachytherapy source, High Activity, Palladium-103, greater than 2.2 mCi, per source</w:t>
      </w:r>
    </w:p>
    <w:p w14:paraId="4C3D4AB9" w14:textId="77777777" w:rsidR="002D0C15" w:rsidRDefault="002D0C15" w:rsidP="002D0C15">
      <w:pPr>
        <w:pStyle w:val="Header"/>
        <w:numPr>
          <w:ilvl w:val="0"/>
          <w:numId w:val="26"/>
        </w:numPr>
        <w:tabs>
          <w:tab w:val="clear" w:pos="4320"/>
          <w:tab w:val="clear" w:pos="8640"/>
        </w:tabs>
        <w:jc w:val="both"/>
        <w:rPr>
          <w:rFonts w:ascii="Arial" w:hAnsi="Arial" w:cs="Arial"/>
          <w:sz w:val="22"/>
          <w:szCs w:val="22"/>
        </w:rPr>
      </w:pPr>
      <w:r>
        <w:rPr>
          <w:rFonts w:ascii="Arial" w:hAnsi="Arial" w:cs="Arial"/>
          <w:sz w:val="22"/>
          <w:szCs w:val="22"/>
        </w:rPr>
        <w:t>C2636 (APC 2636) Brachytherapy linear source, Palladium-103, per 1 MM</w:t>
      </w:r>
    </w:p>
    <w:p w14:paraId="66686CBA" w14:textId="77777777" w:rsidR="002D0C15" w:rsidRDefault="002D0C15" w:rsidP="002D0C15">
      <w:pPr>
        <w:pStyle w:val="Header"/>
        <w:numPr>
          <w:ilvl w:val="0"/>
          <w:numId w:val="26"/>
        </w:numPr>
        <w:tabs>
          <w:tab w:val="clear" w:pos="4320"/>
          <w:tab w:val="clear" w:pos="8640"/>
        </w:tabs>
        <w:jc w:val="both"/>
        <w:rPr>
          <w:rFonts w:ascii="Arial" w:hAnsi="Arial" w:cs="Arial"/>
          <w:sz w:val="22"/>
          <w:szCs w:val="22"/>
        </w:rPr>
      </w:pPr>
      <w:r>
        <w:rPr>
          <w:rFonts w:ascii="Arial" w:hAnsi="Arial" w:cs="Arial"/>
          <w:sz w:val="22"/>
          <w:szCs w:val="22"/>
        </w:rPr>
        <w:t>C1716 (APC 2645) Brachytherapy source, Gold-198, per source</w:t>
      </w:r>
    </w:p>
    <w:p w14:paraId="4F200D63" w14:textId="77777777" w:rsidR="002D0C15" w:rsidRDefault="002D0C15" w:rsidP="002D0C15">
      <w:pPr>
        <w:pStyle w:val="Header"/>
        <w:numPr>
          <w:ilvl w:val="0"/>
          <w:numId w:val="26"/>
        </w:numPr>
        <w:tabs>
          <w:tab w:val="clear" w:pos="4320"/>
          <w:tab w:val="clear" w:pos="8640"/>
        </w:tabs>
        <w:jc w:val="both"/>
        <w:rPr>
          <w:rFonts w:ascii="Arial" w:hAnsi="Arial" w:cs="Arial"/>
          <w:sz w:val="22"/>
          <w:szCs w:val="22"/>
        </w:rPr>
      </w:pPr>
      <w:r>
        <w:rPr>
          <w:rFonts w:ascii="Arial" w:hAnsi="Arial" w:cs="Arial"/>
          <w:sz w:val="22"/>
          <w:szCs w:val="22"/>
        </w:rPr>
        <w:t>C1719 (APC 2647) Brachytherapy source, Non-High Dose Rate Iridium-192, per source</w:t>
      </w:r>
    </w:p>
    <w:p w14:paraId="1522277F" w14:textId="77777777" w:rsidR="002D0C15" w:rsidRDefault="002D0C15">
      <w:pPr>
        <w:rPr>
          <w:rFonts w:ascii="Arial" w:hAnsi="Arial" w:cs="Arial"/>
          <w:b/>
          <w:bCs/>
          <w:sz w:val="22"/>
          <w:szCs w:val="22"/>
          <w:u w:val="single"/>
        </w:rPr>
      </w:pPr>
    </w:p>
    <w:p w14:paraId="5A51E629" w14:textId="77777777" w:rsidR="002D0C15" w:rsidRDefault="002D0C15" w:rsidP="002D0C15">
      <w:pPr>
        <w:pStyle w:val="Header"/>
        <w:tabs>
          <w:tab w:val="clear" w:pos="4320"/>
          <w:tab w:val="clear" w:pos="8640"/>
        </w:tabs>
        <w:jc w:val="both"/>
        <w:rPr>
          <w:rFonts w:ascii="Arial" w:hAnsi="Arial" w:cs="Arial"/>
          <w:sz w:val="22"/>
          <w:szCs w:val="22"/>
        </w:rPr>
      </w:pPr>
    </w:p>
    <w:tbl>
      <w:tblPr>
        <w:tblStyle w:val="TableGrid"/>
        <w:tblW w:w="10080" w:type="dxa"/>
        <w:tblInd w:w="-635" w:type="dxa"/>
        <w:tblLook w:val="04A0" w:firstRow="1" w:lastRow="0" w:firstColumn="1" w:lastColumn="0" w:noHBand="0" w:noVBand="1"/>
      </w:tblPr>
      <w:tblGrid>
        <w:gridCol w:w="661"/>
        <w:gridCol w:w="2759"/>
        <w:gridCol w:w="1841"/>
        <w:gridCol w:w="1139"/>
        <w:gridCol w:w="1256"/>
        <w:gridCol w:w="1256"/>
        <w:gridCol w:w="1168"/>
      </w:tblGrid>
      <w:tr w:rsidR="002D0C15" w14:paraId="76D53293" w14:textId="77777777" w:rsidTr="0005260B">
        <w:tc>
          <w:tcPr>
            <w:tcW w:w="661" w:type="dxa"/>
          </w:tcPr>
          <w:p w14:paraId="12F7A77C" w14:textId="77777777" w:rsidR="002D0C15" w:rsidRPr="006529B2" w:rsidRDefault="002D0C15" w:rsidP="0005260B">
            <w:pPr>
              <w:pStyle w:val="Header"/>
              <w:tabs>
                <w:tab w:val="clear" w:pos="4320"/>
                <w:tab w:val="clear" w:pos="8640"/>
              </w:tabs>
              <w:rPr>
                <w:rFonts w:ascii="Arial" w:hAnsi="Arial" w:cs="Arial"/>
                <w:b/>
                <w:bCs/>
                <w:sz w:val="20"/>
              </w:rPr>
            </w:pPr>
            <w:r w:rsidRPr="00736C4F">
              <w:rPr>
                <w:rFonts w:ascii="Arial" w:hAnsi="Arial" w:cs="Arial"/>
                <w:b/>
                <w:bCs/>
                <w:sz w:val="20"/>
              </w:rPr>
              <w:t>APC</w:t>
            </w:r>
          </w:p>
        </w:tc>
        <w:tc>
          <w:tcPr>
            <w:tcW w:w="2759" w:type="dxa"/>
          </w:tcPr>
          <w:p w14:paraId="41E10BCD"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APC Description</w:t>
            </w:r>
          </w:p>
        </w:tc>
        <w:tc>
          <w:tcPr>
            <w:tcW w:w="1841" w:type="dxa"/>
          </w:tcPr>
          <w:p w14:paraId="718E8372"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Geometric Mean Cost without Low Volume APC Designation</w:t>
            </w:r>
          </w:p>
        </w:tc>
        <w:tc>
          <w:tcPr>
            <w:tcW w:w="1139" w:type="dxa"/>
          </w:tcPr>
          <w:p w14:paraId="0355B3AA"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Median Cost</w:t>
            </w:r>
          </w:p>
        </w:tc>
        <w:tc>
          <w:tcPr>
            <w:tcW w:w="1256" w:type="dxa"/>
          </w:tcPr>
          <w:p w14:paraId="09DA2EFE"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Arithmetic Mean Cost</w:t>
            </w:r>
          </w:p>
        </w:tc>
        <w:tc>
          <w:tcPr>
            <w:tcW w:w="1256" w:type="dxa"/>
          </w:tcPr>
          <w:p w14:paraId="12497C86"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Geometric Mean Cost</w:t>
            </w:r>
          </w:p>
        </w:tc>
        <w:tc>
          <w:tcPr>
            <w:tcW w:w="1168" w:type="dxa"/>
          </w:tcPr>
          <w:p w14:paraId="283AE7A3" w14:textId="77777777" w:rsidR="002D0C15" w:rsidRPr="006529B2" w:rsidRDefault="002D0C15" w:rsidP="0005260B">
            <w:pPr>
              <w:pStyle w:val="Header"/>
              <w:tabs>
                <w:tab w:val="clear" w:pos="4320"/>
                <w:tab w:val="clear" w:pos="8640"/>
              </w:tabs>
              <w:rPr>
                <w:rFonts w:ascii="Arial" w:hAnsi="Arial" w:cs="Arial"/>
                <w:b/>
                <w:bCs/>
                <w:sz w:val="20"/>
              </w:rPr>
            </w:pPr>
            <w:r w:rsidRPr="006529B2">
              <w:rPr>
                <w:rFonts w:ascii="Arial" w:hAnsi="Arial" w:cs="Arial"/>
                <w:b/>
                <w:bCs/>
                <w:sz w:val="20"/>
              </w:rPr>
              <w:t>2022 APC Cost</w:t>
            </w:r>
          </w:p>
        </w:tc>
      </w:tr>
      <w:tr w:rsidR="002D0C15" w14:paraId="13441A9E" w14:textId="77777777" w:rsidTr="0005260B">
        <w:tc>
          <w:tcPr>
            <w:tcW w:w="661" w:type="dxa"/>
          </w:tcPr>
          <w:p w14:paraId="6C0233DA"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2632</w:t>
            </w:r>
          </w:p>
        </w:tc>
        <w:tc>
          <w:tcPr>
            <w:tcW w:w="2759" w:type="dxa"/>
          </w:tcPr>
          <w:p w14:paraId="2B8C152D"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Iodine-125, sodium iodide solution, therapeutic, per millicurie</w:t>
            </w:r>
          </w:p>
        </w:tc>
        <w:tc>
          <w:tcPr>
            <w:tcW w:w="1841" w:type="dxa"/>
          </w:tcPr>
          <w:p w14:paraId="3815373D"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$26.04</w:t>
            </w:r>
          </w:p>
        </w:tc>
        <w:tc>
          <w:tcPr>
            <w:tcW w:w="1139" w:type="dxa"/>
          </w:tcPr>
          <w:p w14:paraId="20F4FB79"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$30.24</w:t>
            </w:r>
          </w:p>
        </w:tc>
        <w:tc>
          <w:tcPr>
            <w:tcW w:w="1256" w:type="dxa"/>
          </w:tcPr>
          <w:p w14:paraId="71602267"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$38.52</w:t>
            </w:r>
          </w:p>
        </w:tc>
        <w:tc>
          <w:tcPr>
            <w:tcW w:w="1256" w:type="dxa"/>
          </w:tcPr>
          <w:p w14:paraId="1014B445"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$34.16</w:t>
            </w:r>
          </w:p>
        </w:tc>
        <w:tc>
          <w:tcPr>
            <w:tcW w:w="1168" w:type="dxa"/>
          </w:tcPr>
          <w:p w14:paraId="05546F72"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$38.52</w:t>
            </w:r>
          </w:p>
        </w:tc>
      </w:tr>
      <w:tr w:rsidR="002D0C15" w14:paraId="33816C41" w14:textId="77777777" w:rsidTr="0005260B">
        <w:tc>
          <w:tcPr>
            <w:tcW w:w="661" w:type="dxa"/>
          </w:tcPr>
          <w:p w14:paraId="36BDEDB3"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2635</w:t>
            </w:r>
          </w:p>
        </w:tc>
        <w:tc>
          <w:tcPr>
            <w:tcW w:w="2759" w:type="dxa"/>
          </w:tcPr>
          <w:p w14:paraId="2F54BEC0"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Brachytherapy source, High Activity, Palladium-103, greater than 1.01 mCi, per source</w:t>
            </w:r>
          </w:p>
        </w:tc>
        <w:tc>
          <w:tcPr>
            <w:tcW w:w="1841" w:type="dxa"/>
          </w:tcPr>
          <w:p w14:paraId="6126939B"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$44.37</w:t>
            </w:r>
          </w:p>
        </w:tc>
        <w:tc>
          <w:tcPr>
            <w:tcW w:w="1139" w:type="dxa"/>
          </w:tcPr>
          <w:p w14:paraId="1FF98291"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$34.04</w:t>
            </w:r>
          </w:p>
        </w:tc>
        <w:tc>
          <w:tcPr>
            <w:tcW w:w="1256" w:type="dxa"/>
          </w:tcPr>
          <w:p w14:paraId="4212C5AC"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$43.53</w:t>
            </w:r>
          </w:p>
        </w:tc>
        <w:tc>
          <w:tcPr>
            <w:tcW w:w="1256" w:type="dxa"/>
          </w:tcPr>
          <w:p w14:paraId="65363EE2"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$36.72</w:t>
            </w:r>
          </w:p>
        </w:tc>
        <w:tc>
          <w:tcPr>
            <w:tcW w:w="1168" w:type="dxa"/>
          </w:tcPr>
          <w:p w14:paraId="6D17576A"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$43.53</w:t>
            </w:r>
          </w:p>
        </w:tc>
      </w:tr>
      <w:tr w:rsidR="002D0C15" w14:paraId="5CC60F82" w14:textId="77777777" w:rsidTr="0005260B">
        <w:tc>
          <w:tcPr>
            <w:tcW w:w="661" w:type="dxa"/>
          </w:tcPr>
          <w:p w14:paraId="0722BF13"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2636</w:t>
            </w:r>
          </w:p>
        </w:tc>
        <w:tc>
          <w:tcPr>
            <w:tcW w:w="2759" w:type="dxa"/>
          </w:tcPr>
          <w:p w14:paraId="5B08FDFD"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Brachytherapy linear source, Palladium-103, per 1 MM</w:t>
            </w:r>
          </w:p>
          <w:p w14:paraId="0304B4B2" w14:textId="77777777" w:rsidR="002D0C15" w:rsidRPr="006529B2" w:rsidRDefault="002D0C15" w:rsidP="0005260B">
            <w:pPr>
              <w:pStyle w:val="Header"/>
              <w:tabs>
                <w:tab w:val="clear" w:pos="4320"/>
                <w:tab w:val="clear" w:pos="8640"/>
              </w:tabs>
              <w:rPr>
                <w:rFonts w:ascii="Arial" w:hAnsi="Arial" w:cs="Arial"/>
                <w:sz w:val="20"/>
              </w:rPr>
            </w:pPr>
          </w:p>
        </w:tc>
        <w:tc>
          <w:tcPr>
            <w:tcW w:w="1841" w:type="dxa"/>
          </w:tcPr>
          <w:p w14:paraId="6694C5B6"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$30.59</w:t>
            </w:r>
          </w:p>
        </w:tc>
        <w:tc>
          <w:tcPr>
            <w:tcW w:w="1139" w:type="dxa"/>
          </w:tcPr>
          <w:p w14:paraId="7471C809"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$24.78</w:t>
            </w:r>
          </w:p>
        </w:tc>
        <w:tc>
          <w:tcPr>
            <w:tcW w:w="1256" w:type="dxa"/>
          </w:tcPr>
          <w:p w14:paraId="4C13E7D9"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$50.16</w:t>
            </w:r>
          </w:p>
        </w:tc>
        <w:tc>
          <w:tcPr>
            <w:tcW w:w="1256" w:type="dxa"/>
          </w:tcPr>
          <w:p w14:paraId="32B23CEF"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$36.43</w:t>
            </w:r>
          </w:p>
        </w:tc>
        <w:tc>
          <w:tcPr>
            <w:tcW w:w="1168" w:type="dxa"/>
          </w:tcPr>
          <w:p w14:paraId="7AD87323"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$50.16</w:t>
            </w:r>
          </w:p>
        </w:tc>
      </w:tr>
      <w:tr w:rsidR="002D0C15" w14:paraId="58C85843" w14:textId="77777777" w:rsidTr="0005260B">
        <w:tc>
          <w:tcPr>
            <w:tcW w:w="661" w:type="dxa"/>
          </w:tcPr>
          <w:p w14:paraId="354DC991"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2645</w:t>
            </w:r>
          </w:p>
        </w:tc>
        <w:tc>
          <w:tcPr>
            <w:tcW w:w="2759" w:type="dxa"/>
          </w:tcPr>
          <w:p w14:paraId="043A8344"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Brachytherapy source, Gold-198, per source</w:t>
            </w:r>
          </w:p>
        </w:tc>
        <w:tc>
          <w:tcPr>
            <w:tcW w:w="1841" w:type="dxa"/>
          </w:tcPr>
          <w:p w14:paraId="53CA7509"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$280.90</w:t>
            </w:r>
          </w:p>
        </w:tc>
        <w:tc>
          <w:tcPr>
            <w:tcW w:w="1139" w:type="dxa"/>
          </w:tcPr>
          <w:p w14:paraId="18F8AFFD"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$61.85</w:t>
            </w:r>
          </w:p>
        </w:tc>
        <w:tc>
          <w:tcPr>
            <w:tcW w:w="1256" w:type="dxa"/>
          </w:tcPr>
          <w:p w14:paraId="17844EF6"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$588.31</w:t>
            </w:r>
          </w:p>
        </w:tc>
        <w:tc>
          <w:tcPr>
            <w:tcW w:w="1256" w:type="dxa"/>
          </w:tcPr>
          <w:p w14:paraId="49D5E2DF"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$131.86</w:t>
            </w:r>
          </w:p>
        </w:tc>
        <w:tc>
          <w:tcPr>
            <w:tcW w:w="1168" w:type="dxa"/>
          </w:tcPr>
          <w:p w14:paraId="2D6D64FF"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$588.31</w:t>
            </w:r>
          </w:p>
        </w:tc>
      </w:tr>
      <w:tr w:rsidR="002D0C15" w14:paraId="0A1C941C" w14:textId="77777777" w:rsidTr="0005260B">
        <w:tc>
          <w:tcPr>
            <w:tcW w:w="661" w:type="dxa"/>
          </w:tcPr>
          <w:p w14:paraId="18EEE313"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2647</w:t>
            </w:r>
          </w:p>
        </w:tc>
        <w:tc>
          <w:tcPr>
            <w:tcW w:w="2759" w:type="dxa"/>
          </w:tcPr>
          <w:p w14:paraId="1F8A167D" w14:textId="77777777" w:rsidR="002D0C15" w:rsidRPr="006529B2" w:rsidRDefault="002D0C15" w:rsidP="0005260B">
            <w:pPr>
              <w:pStyle w:val="Header"/>
              <w:tabs>
                <w:tab w:val="clear" w:pos="4320"/>
                <w:tab w:val="clear" w:pos="8640"/>
              </w:tabs>
              <w:rPr>
                <w:rFonts w:ascii="Arial" w:hAnsi="Arial" w:cs="Arial"/>
                <w:sz w:val="20"/>
              </w:rPr>
            </w:pPr>
            <w:r w:rsidRPr="006529B2">
              <w:rPr>
                <w:rFonts w:ascii="Arial" w:hAnsi="Arial" w:cs="Arial"/>
                <w:sz w:val="20"/>
              </w:rPr>
              <w:t>Brachytherapy source, Non-High Dose Rate Iridium-192, per source</w:t>
            </w:r>
          </w:p>
        </w:tc>
        <w:tc>
          <w:tcPr>
            <w:tcW w:w="1841" w:type="dxa"/>
          </w:tcPr>
          <w:p w14:paraId="0F8D70EF"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$275.13</w:t>
            </w:r>
          </w:p>
        </w:tc>
        <w:tc>
          <w:tcPr>
            <w:tcW w:w="1139" w:type="dxa"/>
          </w:tcPr>
          <w:p w14:paraId="40324B27"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$145.36</w:t>
            </w:r>
          </w:p>
        </w:tc>
        <w:tc>
          <w:tcPr>
            <w:tcW w:w="1256" w:type="dxa"/>
          </w:tcPr>
          <w:p w14:paraId="6479F833"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$196.38</w:t>
            </w:r>
          </w:p>
        </w:tc>
        <w:tc>
          <w:tcPr>
            <w:tcW w:w="1256" w:type="dxa"/>
          </w:tcPr>
          <w:p w14:paraId="36339EFC"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$94.24</w:t>
            </w:r>
          </w:p>
        </w:tc>
        <w:tc>
          <w:tcPr>
            <w:tcW w:w="1168" w:type="dxa"/>
          </w:tcPr>
          <w:p w14:paraId="7566F6F2" w14:textId="77777777" w:rsidR="002D0C15" w:rsidRPr="006529B2" w:rsidRDefault="002D0C15" w:rsidP="0005260B">
            <w:pPr>
              <w:pStyle w:val="Header"/>
              <w:tabs>
                <w:tab w:val="clear" w:pos="4320"/>
                <w:tab w:val="clear" w:pos="8640"/>
              </w:tabs>
              <w:rPr>
                <w:rFonts w:ascii="Arial" w:hAnsi="Arial" w:cs="Arial"/>
                <w:sz w:val="20"/>
              </w:rPr>
            </w:pPr>
            <w:r>
              <w:rPr>
                <w:rFonts w:ascii="Arial" w:hAnsi="Arial" w:cs="Arial"/>
                <w:sz w:val="20"/>
              </w:rPr>
              <w:t>$196.38</w:t>
            </w:r>
          </w:p>
        </w:tc>
      </w:tr>
    </w:tbl>
    <w:p w14:paraId="056AA2C2" w14:textId="77777777" w:rsidR="002D0C15" w:rsidRPr="00D34F8A" w:rsidRDefault="002D0C15" w:rsidP="002D0C15">
      <w:pPr>
        <w:pStyle w:val="Header"/>
        <w:tabs>
          <w:tab w:val="clear" w:pos="4320"/>
          <w:tab w:val="clear" w:pos="8640"/>
        </w:tabs>
        <w:jc w:val="both"/>
        <w:rPr>
          <w:rFonts w:ascii="Arial" w:hAnsi="Arial" w:cs="Arial"/>
          <w:sz w:val="22"/>
          <w:szCs w:val="22"/>
        </w:rPr>
      </w:pPr>
    </w:p>
    <w:p w14:paraId="583D997E" w14:textId="7C87CF6B" w:rsidR="002D0C15" w:rsidRDefault="002D0C15">
      <w:pPr>
        <w:rPr>
          <w:rFonts w:ascii="Arial" w:hAnsi="Arial" w:cs="Arial"/>
          <w:b/>
          <w:bCs/>
          <w:sz w:val="22"/>
          <w:szCs w:val="22"/>
          <w:u w:val="single"/>
        </w:rPr>
      </w:pPr>
    </w:p>
    <w:p w14:paraId="05879A59" w14:textId="075B64FB" w:rsidR="009D27A6" w:rsidRPr="002B73C3" w:rsidRDefault="009D27A6" w:rsidP="002B73C3">
      <w:pPr>
        <w:rPr>
          <w:rFonts w:ascii="Arial" w:hAnsi="Arial" w:cs="Arial"/>
          <w:b/>
          <w:bCs/>
          <w:sz w:val="22"/>
          <w:szCs w:val="22"/>
          <w:u w:val="single"/>
        </w:rPr>
      </w:pPr>
      <w:r w:rsidRPr="002B73C3">
        <w:rPr>
          <w:rFonts w:ascii="Arial" w:hAnsi="Arial" w:cs="Arial"/>
          <w:b/>
          <w:bCs/>
          <w:sz w:val="22"/>
          <w:szCs w:val="22"/>
          <w:u w:val="single"/>
        </w:rPr>
        <w:t>Covered Ancillary Services</w:t>
      </w:r>
    </w:p>
    <w:p w14:paraId="3E38F85D" w14:textId="77777777" w:rsidR="009D27A6" w:rsidRPr="00E90E48" w:rsidRDefault="009D27A6" w:rsidP="00E44C88">
      <w:pPr>
        <w:pStyle w:val="BodyText2"/>
        <w:jc w:val="both"/>
      </w:pPr>
    </w:p>
    <w:p w14:paraId="2A9CCBD2" w14:textId="77777777" w:rsidR="009D27A6" w:rsidRPr="00E90E48" w:rsidRDefault="009D27A6" w:rsidP="00E44C88">
      <w:pPr>
        <w:pStyle w:val="BodyText2"/>
        <w:jc w:val="both"/>
      </w:pPr>
      <w:r w:rsidRPr="00E90E48">
        <w:t>A. Background</w:t>
      </w:r>
    </w:p>
    <w:p w14:paraId="5C440E6E" w14:textId="77777777" w:rsidR="009D27A6" w:rsidRPr="00E90E48" w:rsidRDefault="009D27A6" w:rsidP="00E44C88">
      <w:pPr>
        <w:pStyle w:val="BodyText"/>
        <w:jc w:val="both"/>
        <w:rPr>
          <w:b w:val="0"/>
          <w:bCs w:val="0"/>
        </w:rPr>
      </w:pPr>
    </w:p>
    <w:p w14:paraId="39EA7551" w14:textId="77777777" w:rsidR="009D27A6" w:rsidRDefault="009D27A6" w:rsidP="00E44C88">
      <w:pPr>
        <w:pStyle w:val="BodyText"/>
        <w:jc w:val="both"/>
        <w:rPr>
          <w:b w:val="0"/>
          <w:bCs w:val="0"/>
        </w:rPr>
      </w:pPr>
      <w:r w:rsidRPr="00E90E48">
        <w:rPr>
          <w:b w:val="0"/>
          <w:bCs w:val="0"/>
        </w:rPr>
        <w:t xml:space="preserve">The August </w:t>
      </w:r>
      <w:r w:rsidR="00FD4C98">
        <w:rPr>
          <w:b w:val="0"/>
          <w:bCs w:val="0"/>
        </w:rPr>
        <w:t>2</w:t>
      </w:r>
      <w:r w:rsidRPr="00E90E48">
        <w:rPr>
          <w:b w:val="0"/>
          <w:bCs w:val="0"/>
        </w:rPr>
        <w:t xml:space="preserve">007 </w:t>
      </w:r>
      <w:r w:rsidR="00FD4C98">
        <w:rPr>
          <w:b w:val="0"/>
          <w:bCs w:val="0"/>
        </w:rPr>
        <w:t xml:space="preserve">ASC </w:t>
      </w:r>
      <w:r w:rsidRPr="00E90E48">
        <w:rPr>
          <w:b w:val="0"/>
          <w:bCs w:val="0"/>
        </w:rPr>
        <w:t>final rule established a policy to make separate ASC payments for ancillary services, for which separate payment is made under the HOPPS, when they are provided integral to ASC covered surgical procedures</w:t>
      </w:r>
      <w:r w:rsidR="006D7953">
        <w:rPr>
          <w:b w:val="0"/>
          <w:bCs w:val="0"/>
        </w:rPr>
        <w:t xml:space="preserve">. </w:t>
      </w:r>
      <w:r w:rsidRPr="00E90E48">
        <w:rPr>
          <w:b w:val="0"/>
          <w:bCs w:val="0"/>
        </w:rPr>
        <w:t>Payment for ancillary services that are not paid separately under the ASC payment system are packaged into the ASC payment for the covered surgical procedure.</w:t>
      </w:r>
    </w:p>
    <w:p w14:paraId="72A378B8" w14:textId="77777777" w:rsidR="0065788D" w:rsidRDefault="0065788D" w:rsidP="00E44C88">
      <w:pPr>
        <w:pStyle w:val="BodyText"/>
        <w:jc w:val="both"/>
        <w:rPr>
          <w:b w:val="0"/>
          <w:bCs w:val="0"/>
        </w:rPr>
      </w:pPr>
    </w:p>
    <w:p w14:paraId="045B11F3" w14:textId="77777777" w:rsidR="009D27A6" w:rsidRPr="00E90E48" w:rsidRDefault="009D27A6" w:rsidP="00E44C88">
      <w:pPr>
        <w:pStyle w:val="BodyText2"/>
        <w:jc w:val="both"/>
      </w:pPr>
      <w:r w:rsidRPr="00E90E48">
        <w:t>B. Changes to List of Covered Ancillary Services</w:t>
      </w:r>
    </w:p>
    <w:p w14:paraId="34CC485B" w14:textId="77777777" w:rsidR="00BF0C2E" w:rsidRDefault="00BF0C2E" w:rsidP="00BF0C2E">
      <w:pPr>
        <w:autoSpaceDE w:val="0"/>
        <w:autoSpaceDN w:val="0"/>
        <w:adjustRightInd w:val="0"/>
        <w:jc w:val="both"/>
        <w:rPr>
          <w:rFonts w:ascii="Arial" w:eastAsia="MS Mincho" w:hAnsi="Arial" w:cs="Arial"/>
          <w:sz w:val="21"/>
          <w:szCs w:val="21"/>
          <w:lang w:eastAsia="ja-JP"/>
        </w:rPr>
      </w:pPr>
    </w:p>
    <w:p w14:paraId="1C00A3ED" w14:textId="66B84490" w:rsidR="00BF0C2E" w:rsidRDefault="00BF0C2E" w:rsidP="00BF0C2E">
      <w:pPr>
        <w:autoSpaceDE w:val="0"/>
        <w:autoSpaceDN w:val="0"/>
        <w:adjustRightInd w:val="0"/>
        <w:jc w:val="both"/>
        <w:rPr>
          <w:rFonts w:ascii="Arial" w:hAnsi="Arial" w:cs="Arial"/>
          <w:sz w:val="22"/>
          <w:szCs w:val="22"/>
        </w:rPr>
      </w:pPr>
      <w:smartTag w:uri="urn:schemas-microsoft-com:office:smarttags" w:element="PersonName">
        <w:r w:rsidRPr="00E90E48">
          <w:rPr>
            <w:rFonts w:ascii="Arial" w:hAnsi="Arial" w:cs="Arial"/>
            <w:sz w:val="22"/>
            <w:szCs w:val="22"/>
          </w:rPr>
          <w:t>CMS</w:t>
        </w:r>
      </w:smartTag>
      <w:r w:rsidRPr="00E90E48">
        <w:rPr>
          <w:rFonts w:ascii="Arial" w:hAnsi="Arial" w:cs="Arial"/>
          <w:sz w:val="22"/>
          <w:szCs w:val="22"/>
        </w:rPr>
        <w:t xml:space="preserve"> updates the ASC list of covered ancillary services </w:t>
      </w:r>
      <w:r>
        <w:rPr>
          <w:rFonts w:ascii="Arial" w:hAnsi="Arial" w:cs="Arial"/>
          <w:sz w:val="22"/>
          <w:szCs w:val="22"/>
        </w:rPr>
        <w:t>on an annual basis.</w:t>
      </w:r>
      <w:r w:rsidRPr="00E90E48">
        <w:rPr>
          <w:rFonts w:ascii="Arial" w:hAnsi="Arial" w:cs="Arial"/>
          <w:sz w:val="22"/>
          <w:szCs w:val="22"/>
        </w:rPr>
        <w:t xml:space="preserve"> Maintaining consistency with HOPPS may result in changes to the ASC payment indicators for some covered ancillary services because of changes </w:t>
      </w:r>
      <w:r w:rsidR="00741D91">
        <w:rPr>
          <w:rFonts w:ascii="Arial" w:hAnsi="Arial" w:cs="Arial"/>
          <w:sz w:val="22"/>
          <w:szCs w:val="22"/>
        </w:rPr>
        <w:t xml:space="preserve">that are </w:t>
      </w:r>
      <w:r w:rsidR="00C41FA5">
        <w:rPr>
          <w:rFonts w:ascii="Arial" w:hAnsi="Arial" w:cs="Arial"/>
          <w:sz w:val="22"/>
          <w:szCs w:val="22"/>
        </w:rPr>
        <w:t>implemented</w:t>
      </w:r>
      <w:r w:rsidR="00741D91">
        <w:rPr>
          <w:rFonts w:ascii="Arial" w:hAnsi="Arial" w:cs="Arial"/>
          <w:sz w:val="22"/>
          <w:szCs w:val="22"/>
        </w:rPr>
        <w:t xml:space="preserve"> under the </w:t>
      </w:r>
      <w:r w:rsidRPr="00E90E48">
        <w:rPr>
          <w:rFonts w:ascii="Arial" w:hAnsi="Arial" w:cs="Arial"/>
          <w:sz w:val="22"/>
          <w:szCs w:val="22"/>
        </w:rPr>
        <w:t>hospital outpatient payment system.</w:t>
      </w:r>
      <w:r w:rsidR="00677D9F">
        <w:rPr>
          <w:rFonts w:ascii="Arial" w:hAnsi="Arial" w:cs="Arial"/>
          <w:sz w:val="22"/>
          <w:szCs w:val="22"/>
        </w:rPr>
        <w:t xml:space="preserve"> (S</w:t>
      </w:r>
      <w:r w:rsidR="00677D9F" w:rsidRPr="00E90E48">
        <w:rPr>
          <w:rFonts w:ascii="Arial" w:hAnsi="Arial" w:cs="Arial"/>
          <w:sz w:val="22"/>
          <w:szCs w:val="22"/>
        </w:rPr>
        <w:t>ee Addendum BB</w:t>
      </w:r>
      <w:r w:rsidR="00250174">
        <w:rPr>
          <w:rFonts w:ascii="Arial" w:hAnsi="Arial" w:cs="Arial"/>
          <w:sz w:val="22"/>
          <w:szCs w:val="22"/>
        </w:rPr>
        <w:t xml:space="preserve"> </w:t>
      </w:r>
      <w:r w:rsidR="00677D9F">
        <w:rPr>
          <w:rFonts w:ascii="Arial" w:hAnsi="Arial" w:cs="Arial"/>
          <w:sz w:val="22"/>
          <w:szCs w:val="22"/>
        </w:rPr>
        <w:t xml:space="preserve">for a list of all covered ancillary services for which CMS </w:t>
      </w:r>
      <w:r w:rsidR="00C41FA5">
        <w:rPr>
          <w:rFonts w:ascii="Arial" w:hAnsi="Arial" w:cs="Arial"/>
          <w:sz w:val="22"/>
          <w:szCs w:val="22"/>
        </w:rPr>
        <w:t>implements</w:t>
      </w:r>
      <w:r w:rsidR="00677D9F">
        <w:rPr>
          <w:rFonts w:ascii="Arial" w:hAnsi="Arial" w:cs="Arial"/>
          <w:sz w:val="22"/>
          <w:szCs w:val="22"/>
        </w:rPr>
        <w:t xml:space="preserve"> a change to the ASC payment indicator). </w:t>
      </w:r>
    </w:p>
    <w:p w14:paraId="5F9D7EE8" w14:textId="77777777" w:rsidR="006B4EC4" w:rsidRDefault="006B4EC4" w:rsidP="00E44C88">
      <w:pPr>
        <w:pStyle w:val="BodyText"/>
        <w:jc w:val="both"/>
        <w:rPr>
          <w:u w:val="single"/>
        </w:rPr>
      </w:pPr>
    </w:p>
    <w:p w14:paraId="31BBE39C" w14:textId="77777777" w:rsidR="002D1CC8" w:rsidRDefault="002D1CC8">
      <w:pPr>
        <w:rPr>
          <w:rFonts w:ascii="Arial" w:hAnsi="Arial" w:cs="Arial"/>
          <w:b/>
          <w:bCs/>
          <w:sz w:val="22"/>
          <w:u w:val="single"/>
        </w:rPr>
      </w:pPr>
      <w:r>
        <w:rPr>
          <w:u w:val="single"/>
        </w:rPr>
        <w:br w:type="page"/>
      </w:r>
    </w:p>
    <w:p w14:paraId="381A72E2" w14:textId="4A29695D" w:rsidR="00CB57F4" w:rsidRPr="00E90E48" w:rsidRDefault="00CB57F4" w:rsidP="00E44C88">
      <w:pPr>
        <w:pStyle w:val="BodyText"/>
        <w:jc w:val="both"/>
        <w:rPr>
          <w:u w:val="single"/>
        </w:rPr>
      </w:pPr>
      <w:r w:rsidRPr="00720A64">
        <w:rPr>
          <w:u w:val="single"/>
        </w:rPr>
        <w:lastRenderedPageBreak/>
        <w:t>ASC Payment for Covered Ancillary Services</w:t>
      </w:r>
    </w:p>
    <w:p w14:paraId="69B61174" w14:textId="77777777" w:rsidR="00CB57F4" w:rsidRPr="00E90E48" w:rsidRDefault="00CB57F4" w:rsidP="00E44C88">
      <w:pPr>
        <w:pStyle w:val="BodyText2"/>
        <w:jc w:val="both"/>
      </w:pPr>
    </w:p>
    <w:p w14:paraId="08C888AE" w14:textId="7B956FD7" w:rsidR="007331ED" w:rsidRPr="00756380" w:rsidRDefault="00CB57F4" w:rsidP="007331ED">
      <w:pPr>
        <w:autoSpaceDE w:val="0"/>
        <w:autoSpaceDN w:val="0"/>
        <w:adjustRightInd w:val="0"/>
        <w:jc w:val="both"/>
        <w:rPr>
          <w:rFonts w:ascii="Arial" w:hAnsi="Arial" w:cs="Arial"/>
          <w:bCs/>
          <w:sz w:val="22"/>
          <w:szCs w:val="22"/>
        </w:rPr>
      </w:pPr>
      <w:r w:rsidRPr="007331ED">
        <w:rPr>
          <w:rFonts w:ascii="Arial" w:hAnsi="Arial" w:cs="Arial"/>
          <w:sz w:val="22"/>
          <w:szCs w:val="22"/>
        </w:rPr>
        <w:t>For 20</w:t>
      </w:r>
      <w:r w:rsidR="00D1494E">
        <w:rPr>
          <w:rFonts w:ascii="Arial" w:hAnsi="Arial" w:cs="Arial"/>
          <w:sz w:val="22"/>
          <w:szCs w:val="22"/>
        </w:rPr>
        <w:t>2</w:t>
      </w:r>
      <w:r w:rsidR="00F33DA4">
        <w:rPr>
          <w:rFonts w:ascii="Arial" w:hAnsi="Arial" w:cs="Arial"/>
          <w:sz w:val="22"/>
          <w:szCs w:val="22"/>
        </w:rPr>
        <w:t>2</w:t>
      </w:r>
      <w:r w:rsidRPr="007331ED">
        <w:rPr>
          <w:rFonts w:ascii="Arial" w:hAnsi="Arial" w:cs="Arial"/>
          <w:sz w:val="22"/>
          <w:szCs w:val="22"/>
        </w:rPr>
        <w:t>, CMS update</w:t>
      </w:r>
      <w:r w:rsidR="005614E1" w:rsidRPr="007331ED">
        <w:rPr>
          <w:rFonts w:ascii="Arial" w:hAnsi="Arial" w:cs="Arial"/>
          <w:sz w:val="22"/>
          <w:szCs w:val="22"/>
        </w:rPr>
        <w:t>s</w:t>
      </w:r>
      <w:r w:rsidRPr="007331ED">
        <w:rPr>
          <w:rFonts w:ascii="Arial" w:hAnsi="Arial" w:cs="Arial"/>
          <w:sz w:val="22"/>
          <w:szCs w:val="22"/>
        </w:rPr>
        <w:t xml:space="preserve"> the ASC payment rates and make</w:t>
      </w:r>
      <w:r w:rsidR="005614E1" w:rsidRPr="007331ED">
        <w:rPr>
          <w:rFonts w:ascii="Arial" w:hAnsi="Arial" w:cs="Arial"/>
          <w:sz w:val="22"/>
          <w:szCs w:val="22"/>
        </w:rPr>
        <w:t>s</w:t>
      </w:r>
      <w:r w:rsidRPr="007331ED">
        <w:rPr>
          <w:rFonts w:ascii="Arial" w:hAnsi="Arial" w:cs="Arial"/>
          <w:sz w:val="22"/>
          <w:szCs w:val="22"/>
        </w:rPr>
        <w:t xml:space="preserve"> changes to payment indicators as necessary in order to maintain </w:t>
      </w:r>
      <w:r w:rsidR="00707CFB" w:rsidRPr="007331ED">
        <w:rPr>
          <w:rFonts w:ascii="Arial" w:hAnsi="Arial" w:cs="Arial"/>
          <w:sz w:val="22"/>
          <w:szCs w:val="22"/>
        </w:rPr>
        <w:t>consistency</w:t>
      </w:r>
      <w:r w:rsidRPr="007331ED">
        <w:rPr>
          <w:rFonts w:ascii="Arial" w:hAnsi="Arial" w:cs="Arial"/>
          <w:sz w:val="22"/>
          <w:szCs w:val="22"/>
        </w:rPr>
        <w:t xml:space="preserve"> between the HOPPS and ASC payment systems regarding the packaged or separately payable status of services.</w:t>
      </w:r>
      <w:r w:rsidR="00436059" w:rsidRPr="007331ED">
        <w:rPr>
          <w:rFonts w:ascii="Arial" w:hAnsi="Arial" w:cs="Arial"/>
          <w:sz w:val="22"/>
          <w:szCs w:val="22"/>
        </w:rPr>
        <w:t xml:space="preserve"> </w:t>
      </w:r>
      <w:r w:rsidR="00436059" w:rsidRPr="00756380">
        <w:rPr>
          <w:rFonts w:ascii="Arial" w:hAnsi="Arial" w:cs="Arial"/>
          <w:b/>
          <w:sz w:val="22"/>
          <w:szCs w:val="22"/>
        </w:rPr>
        <w:t>CMS continues to set the 20</w:t>
      </w:r>
      <w:r w:rsidR="007E382B" w:rsidRPr="00756380">
        <w:rPr>
          <w:rFonts w:ascii="Arial" w:hAnsi="Arial" w:cs="Arial"/>
          <w:b/>
          <w:sz w:val="22"/>
          <w:szCs w:val="22"/>
        </w:rPr>
        <w:t>2</w:t>
      </w:r>
      <w:r w:rsidR="00F33DA4">
        <w:rPr>
          <w:rFonts w:ascii="Arial" w:hAnsi="Arial" w:cs="Arial"/>
          <w:b/>
          <w:sz w:val="22"/>
          <w:szCs w:val="22"/>
        </w:rPr>
        <w:t>2</w:t>
      </w:r>
      <w:r w:rsidR="00436059" w:rsidRPr="00756380">
        <w:rPr>
          <w:rFonts w:ascii="Arial" w:hAnsi="Arial" w:cs="Arial"/>
          <w:b/>
          <w:sz w:val="22"/>
          <w:szCs w:val="22"/>
        </w:rPr>
        <w:t xml:space="preserve"> ASC payment rates for brachytherapy sources </w:t>
      </w:r>
      <w:r w:rsidR="00436059" w:rsidRPr="00756380">
        <w:rPr>
          <w:rFonts w:ascii="Arial" w:hAnsi="Arial" w:cs="Arial"/>
          <w:bCs/>
          <w:sz w:val="22"/>
          <w:szCs w:val="22"/>
        </w:rPr>
        <w:t xml:space="preserve">and separately payable drugs and biological </w:t>
      </w:r>
      <w:r w:rsidR="00436059" w:rsidRPr="00756380">
        <w:rPr>
          <w:rFonts w:ascii="Arial" w:hAnsi="Arial" w:cs="Arial"/>
          <w:b/>
          <w:sz w:val="22"/>
          <w:szCs w:val="22"/>
        </w:rPr>
        <w:t>equal to the HOPPS payment rates for 20</w:t>
      </w:r>
      <w:r w:rsidR="007E382B" w:rsidRPr="00756380">
        <w:rPr>
          <w:rFonts w:ascii="Arial" w:hAnsi="Arial" w:cs="Arial"/>
          <w:b/>
          <w:sz w:val="22"/>
          <w:szCs w:val="22"/>
        </w:rPr>
        <w:t>2</w:t>
      </w:r>
      <w:r w:rsidR="00F33DA4">
        <w:rPr>
          <w:rFonts w:ascii="Arial" w:hAnsi="Arial" w:cs="Arial"/>
          <w:b/>
          <w:sz w:val="22"/>
          <w:szCs w:val="22"/>
        </w:rPr>
        <w:t>2</w:t>
      </w:r>
      <w:r w:rsidR="00436059" w:rsidRPr="00756380">
        <w:rPr>
          <w:rFonts w:ascii="Arial" w:hAnsi="Arial" w:cs="Arial"/>
          <w:b/>
          <w:sz w:val="22"/>
          <w:szCs w:val="22"/>
        </w:rPr>
        <w:t>.</w:t>
      </w:r>
      <w:r w:rsidR="007331ED" w:rsidRPr="00756380">
        <w:rPr>
          <w:rFonts w:ascii="Arial" w:hAnsi="Arial" w:cs="Arial"/>
          <w:bCs/>
          <w:sz w:val="22"/>
          <w:szCs w:val="22"/>
        </w:rPr>
        <w:t xml:space="preserve"> </w:t>
      </w:r>
    </w:p>
    <w:p w14:paraId="10302027" w14:textId="77777777" w:rsidR="007331ED" w:rsidRDefault="007331ED" w:rsidP="007331ED">
      <w:pPr>
        <w:autoSpaceDE w:val="0"/>
        <w:autoSpaceDN w:val="0"/>
        <w:adjustRightInd w:val="0"/>
        <w:jc w:val="both"/>
        <w:rPr>
          <w:rFonts w:ascii="Arial" w:hAnsi="Arial" w:cs="Arial"/>
          <w:b/>
          <w:sz w:val="22"/>
          <w:szCs w:val="22"/>
        </w:rPr>
      </w:pPr>
    </w:p>
    <w:p w14:paraId="214E40B3" w14:textId="0416F250" w:rsidR="00436059" w:rsidRPr="00CA0B74" w:rsidRDefault="00F458D9" w:rsidP="00CA0B74">
      <w:pPr>
        <w:autoSpaceDE w:val="0"/>
        <w:autoSpaceDN w:val="0"/>
        <w:adjustRightInd w:val="0"/>
        <w:jc w:val="both"/>
        <w:rPr>
          <w:rFonts w:ascii="Arial" w:hAnsi="Arial" w:cs="Arial"/>
          <w:sz w:val="22"/>
          <w:szCs w:val="22"/>
        </w:rPr>
      </w:pPr>
      <w:r>
        <w:rPr>
          <w:rFonts w:ascii="Arial" w:eastAsia="MS Mincho" w:hAnsi="Arial" w:cs="Arial"/>
          <w:sz w:val="22"/>
          <w:szCs w:val="22"/>
          <w:lang w:eastAsia="ja-JP"/>
        </w:rPr>
        <w:t>P</w:t>
      </w:r>
      <w:r w:rsidR="00436059" w:rsidRPr="00CA0B74">
        <w:rPr>
          <w:rFonts w:ascii="Arial" w:eastAsia="MS Mincho" w:hAnsi="Arial" w:cs="Arial"/>
          <w:sz w:val="22"/>
          <w:szCs w:val="22"/>
          <w:lang w:eastAsia="ja-JP"/>
        </w:rPr>
        <w:t xml:space="preserve">ayment for a radiology service </w:t>
      </w:r>
      <w:r w:rsidR="00C64772">
        <w:rPr>
          <w:rFonts w:ascii="Arial" w:eastAsia="MS Mincho" w:hAnsi="Arial" w:cs="Arial"/>
          <w:sz w:val="22"/>
          <w:szCs w:val="22"/>
          <w:lang w:eastAsia="ja-JP"/>
        </w:rPr>
        <w:t xml:space="preserve">(includes radiation oncology) </w:t>
      </w:r>
      <w:r w:rsidR="00436059" w:rsidRPr="00CA0B74">
        <w:rPr>
          <w:rFonts w:ascii="Arial" w:eastAsia="MS Mincho" w:hAnsi="Arial" w:cs="Arial"/>
          <w:sz w:val="22"/>
          <w:szCs w:val="22"/>
          <w:lang w:eastAsia="ja-JP"/>
        </w:rPr>
        <w:t>would be packaged into the</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payment for the ASC covered surgical procedure if the radiology service is packaged or</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conditionally packaged under the </w:t>
      </w:r>
      <w:r w:rsidR="00CA0B74" w:rsidRPr="00CA0B74">
        <w:rPr>
          <w:rFonts w:ascii="Arial" w:eastAsia="MS Mincho" w:hAnsi="Arial" w:cs="Arial"/>
          <w:sz w:val="22"/>
          <w:szCs w:val="22"/>
          <w:lang w:eastAsia="ja-JP"/>
        </w:rPr>
        <w:t>H</w:t>
      </w:r>
      <w:r w:rsidR="00436059" w:rsidRPr="00CA0B74">
        <w:rPr>
          <w:rFonts w:ascii="Arial" w:eastAsia="MS Mincho" w:hAnsi="Arial" w:cs="Arial"/>
          <w:sz w:val="22"/>
          <w:szCs w:val="22"/>
          <w:lang w:eastAsia="ja-JP"/>
        </w:rPr>
        <w:t xml:space="preserve">OPPS. The payment indicators in Addendum BB indicate whether the </w:t>
      </w:r>
      <w:r>
        <w:rPr>
          <w:rFonts w:ascii="Arial" w:eastAsia="MS Mincho" w:hAnsi="Arial" w:cs="Arial"/>
          <w:sz w:val="22"/>
          <w:szCs w:val="22"/>
          <w:lang w:eastAsia="ja-JP"/>
        </w:rPr>
        <w:t>20</w:t>
      </w:r>
      <w:r w:rsidR="00D1494E">
        <w:rPr>
          <w:rFonts w:ascii="Arial" w:eastAsia="MS Mincho" w:hAnsi="Arial" w:cs="Arial"/>
          <w:sz w:val="22"/>
          <w:szCs w:val="22"/>
          <w:lang w:eastAsia="ja-JP"/>
        </w:rPr>
        <w:t>2</w:t>
      </w:r>
      <w:r w:rsidR="00250174">
        <w:rPr>
          <w:rFonts w:ascii="Arial" w:eastAsia="MS Mincho" w:hAnsi="Arial" w:cs="Arial"/>
          <w:sz w:val="22"/>
          <w:szCs w:val="22"/>
          <w:lang w:eastAsia="ja-JP"/>
        </w:rPr>
        <w:t>2</w:t>
      </w:r>
      <w:r>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payment rates for radiology services are</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based on the MPFS nonfacility PE RVU-based amount or the ASC standard ratesetting</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methodology, or whether payment for a radiology service is packaged into the payment</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for the covered surgical procedure (payment indicator “N1”). Radiology services that </w:t>
      </w:r>
      <w:r w:rsidR="00CA0B74" w:rsidRPr="00CA0B74">
        <w:rPr>
          <w:rFonts w:ascii="Arial" w:eastAsia="MS Mincho" w:hAnsi="Arial" w:cs="Arial"/>
          <w:sz w:val="22"/>
          <w:szCs w:val="22"/>
          <w:lang w:eastAsia="ja-JP"/>
        </w:rPr>
        <w:t xml:space="preserve">CMS </w:t>
      </w:r>
      <w:r w:rsidR="00436059" w:rsidRPr="00CA0B74">
        <w:rPr>
          <w:rFonts w:ascii="Arial" w:eastAsia="MS Mincho" w:hAnsi="Arial" w:cs="Arial"/>
          <w:sz w:val="22"/>
          <w:szCs w:val="22"/>
          <w:lang w:eastAsia="ja-JP"/>
        </w:rPr>
        <w:t>pay</w:t>
      </w:r>
      <w:r w:rsidR="005614E1">
        <w:rPr>
          <w:rFonts w:ascii="Arial" w:eastAsia="MS Mincho" w:hAnsi="Arial" w:cs="Arial"/>
          <w:sz w:val="22"/>
          <w:szCs w:val="22"/>
          <w:lang w:eastAsia="ja-JP"/>
        </w:rPr>
        <w:t>s</w:t>
      </w:r>
      <w:r w:rsidR="00436059" w:rsidRPr="00CA0B74">
        <w:rPr>
          <w:rFonts w:ascii="Arial" w:eastAsia="MS Mincho" w:hAnsi="Arial" w:cs="Arial"/>
          <w:sz w:val="22"/>
          <w:szCs w:val="22"/>
          <w:lang w:eastAsia="ja-JP"/>
        </w:rPr>
        <w:t xml:space="preserve"> based on the ASC standard ratesetting methodology are assigned</w:t>
      </w:r>
      <w:r w:rsid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payment indicator “Z2” Radiology </w:t>
      </w:r>
      <w:r w:rsidR="00436059" w:rsidRPr="00906B62">
        <w:rPr>
          <w:rFonts w:ascii="Arial" w:eastAsia="MS Mincho" w:hAnsi="Arial" w:cs="Arial"/>
          <w:iCs/>
          <w:sz w:val="22"/>
          <w:szCs w:val="22"/>
          <w:lang w:eastAsia="ja-JP"/>
        </w:rPr>
        <w:t>or</w:t>
      </w:r>
      <w:r w:rsidR="00CA0B74" w:rsidRPr="00906B62">
        <w:rPr>
          <w:rFonts w:ascii="Arial" w:eastAsia="MS Mincho" w:hAnsi="Arial" w:cs="Arial"/>
          <w:iCs/>
          <w:sz w:val="22"/>
          <w:szCs w:val="22"/>
          <w:lang w:eastAsia="ja-JP"/>
        </w:rPr>
        <w:t xml:space="preserve"> </w:t>
      </w:r>
      <w:r w:rsidR="00436059" w:rsidRPr="00906B62">
        <w:rPr>
          <w:rFonts w:ascii="Arial" w:eastAsia="MS Mincho" w:hAnsi="Arial" w:cs="Arial"/>
          <w:iCs/>
          <w:sz w:val="22"/>
          <w:szCs w:val="22"/>
          <w:lang w:eastAsia="ja-JP"/>
        </w:rPr>
        <w:t>diagnostic</w:t>
      </w:r>
      <w:r w:rsidR="00436059" w:rsidRPr="00CA0B74">
        <w:rPr>
          <w:rFonts w:ascii="Arial" w:eastAsia="MS Mincho" w:hAnsi="Arial" w:cs="Arial"/>
          <w:i/>
          <w:iCs/>
          <w:sz w:val="22"/>
          <w:szCs w:val="22"/>
          <w:lang w:eastAsia="ja-JP"/>
        </w:rPr>
        <w:t xml:space="preserve"> </w:t>
      </w:r>
      <w:r w:rsidR="00436059" w:rsidRPr="00CA0B74">
        <w:rPr>
          <w:rFonts w:ascii="Arial" w:eastAsia="MS Mincho" w:hAnsi="Arial" w:cs="Arial"/>
          <w:sz w:val="22"/>
          <w:szCs w:val="22"/>
          <w:lang w:eastAsia="ja-JP"/>
        </w:rPr>
        <w:t>service paid separately when provided integral to a surgical procedure on ASC</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list; payment based on </w:t>
      </w:r>
      <w:r w:rsidR="00CA0B74" w:rsidRPr="00CA0B74">
        <w:rPr>
          <w:rFonts w:ascii="Arial" w:eastAsia="MS Mincho" w:hAnsi="Arial" w:cs="Arial"/>
          <w:sz w:val="22"/>
          <w:szCs w:val="22"/>
          <w:lang w:eastAsia="ja-JP"/>
        </w:rPr>
        <w:t>H</w:t>
      </w:r>
      <w:r w:rsidR="005614E1">
        <w:rPr>
          <w:rFonts w:ascii="Arial" w:eastAsia="MS Mincho" w:hAnsi="Arial" w:cs="Arial"/>
          <w:sz w:val="22"/>
          <w:szCs w:val="22"/>
          <w:lang w:eastAsia="ja-JP"/>
        </w:rPr>
        <w:t>OPPS relative payment weight. Radiology services</w:t>
      </w:r>
      <w:r w:rsidR="00436059" w:rsidRPr="00CA0B74">
        <w:rPr>
          <w:rFonts w:ascii="Arial" w:eastAsia="MS Mincho" w:hAnsi="Arial" w:cs="Arial"/>
          <w:sz w:val="22"/>
          <w:szCs w:val="22"/>
          <w:lang w:eastAsia="ja-JP"/>
        </w:rPr>
        <w:t xml:space="preserve"> </w:t>
      </w:r>
      <w:r w:rsidR="005614E1">
        <w:rPr>
          <w:rFonts w:ascii="Arial" w:eastAsia="MS Mincho" w:hAnsi="Arial" w:cs="Arial"/>
          <w:sz w:val="22"/>
          <w:szCs w:val="22"/>
          <w:lang w:eastAsia="ja-JP"/>
        </w:rPr>
        <w:t>with</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payment based on the MPFS nonfacility PE RVU-based amount </w:t>
      </w:r>
      <w:r w:rsidR="00072869">
        <w:rPr>
          <w:rFonts w:ascii="Arial" w:eastAsia="MS Mincho" w:hAnsi="Arial" w:cs="Arial"/>
          <w:sz w:val="22"/>
          <w:szCs w:val="22"/>
          <w:lang w:eastAsia="ja-JP"/>
        </w:rPr>
        <w:t>are</w:t>
      </w:r>
      <w:r w:rsidR="00436059" w:rsidRPr="00CA0B74">
        <w:rPr>
          <w:rFonts w:ascii="Arial" w:eastAsia="MS Mincho" w:hAnsi="Arial" w:cs="Arial"/>
          <w:sz w:val="22"/>
          <w:szCs w:val="22"/>
          <w:lang w:eastAsia="ja-JP"/>
        </w:rPr>
        <w:t xml:space="preserve"> assigned payment</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 xml:space="preserve">indicator “Z3” Radiology </w:t>
      </w:r>
      <w:r w:rsidR="00436059" w:rsidRPr="00906B62">
        <w:rPr>
          <w:rFonts w:ascii="Arial" w:eastAsia="MS Mincho" w:hAnsi="Arial" w:cs="Arial"/>
          <w:iCs/>
          <w:sz w:val="22"/>
          <w:szCs w:val="22"/>
          <w:lang w:eastAsia="ja-JP"/>
        </w:rPr>
        <w:t>or diagnostic</w:t>
      </w:r>
      <w:r w:rsidR="00CA0B74" w:rsidRPr="00CA0B74">
        <w:rPr>
          <w:rFonts w:ascii="Arial" w:eastAsia="MS Mincho" w:hAnsi="Arial" w:cs="Arial"/>
          <w:i/>
          <w:iCs/>
          <w:sz w:val="22"/>
          <w:szCs w:val="22"/>
          <w:lang w:eastAsia="ja-JP"/>
        </w:rPr>
        <w:t xml:space="preserve"> </w:t>
      </w:r>
      <w:r w:rsidR="00436059" w:rsidRPr="00CA0B74">
        <w:rPr>
          <w:rFonts w:ascii="Arial" w:eastAsia="MS Mincho" w:hAnsi="Arial" w:cs="Arial"/>
          <w:sz w:val="22"/>
          <w:szCs w:val="22"/>
          <w:lang w:eastAsia="ja-JP"/>
        </w:rPr>
        <w:t>service paid separately when provided integral to a surgical procedure on ASC list;</w:t>
      </w:r>
      <w:r w:rsidR="00CA0B74" w:rsidRPr="00CA0B74">
        <w:rPr>
          <w:rFonts w:ascii="Arial" w:eastAsia="MS Mincho" w:hAnsi="Arial" w:cs="Arial"/>
          <w:sz w:val="22"/>
          <w:szCs w:val="22"/>
          <w:lang w:eastAsia="ja-JP"/>
        </w:rPr>
        <w:t xml:space="preserve"> </w:t>
      </w:r>
      <w:r w:rsidR="00436059" w:rsidRPr="00CA0B74">
        <w:rPr>
          <w:rFonts w:ascii="Arial" w:eastAsia="MS Mincho" w:hAnsi="Arial" w:cs="Arial"/>
          <w:sz w:val="22"/>
          <w:szCs w:val="22"/>
          <w:lang w:eastAsia="ja-JP"/>
        </w:rPr>
        <w:t>payment based on MPFS nonfacility PE RVUs.</w:t>
      </w:r>
    </w:p>
    <w:p w14:paraId="5214E646" w14:textId="77777777" w:rsidR="00CB57F4" w:rsidRPr="00DF039C" w:rsidRDefault="00CB57F4" w:rsidP="00E44C88">
      <w:pPr>
        <w:pStyle w:val="BodyText2"/>
        <w:jc w:val="both"/>
      </w:pPr>
    </w:p>
    <w:p w14:paraId="06D2DDB4" w14:textId="77777777" w:rsidR="005F0326" w:rsidRPr="00DF039C" w:rsidRDefault="00947762" w:rsidP="00E44C88">
      <w:pPr>
        <w:autoSpaceDE w:val="0"/>
        <w:autoSpaceDN w:val="0"/>
        <w:adjustRightInd w:val="0"/>
        <w:jc w:val="both"/>
        <w:rPr>
          <w:rFonts w:ascii="Arial" w:hAnsi="Arial" w:cs="Arial"/>
          <w:sz w:val="22"/>
          <w:szCs w:val="22"/>
        </w:rPr>
      </w:pPr>
      <w:r w:rsidRPr="00DF039C">
        <w:rPr>
          <w:rFonts w:ascii="Arial" w:hAnsi="Arial" w:cs="Arial"/>
          <w:sz w:val="22"/>
          <w:szCs w:val="22"/>
        </w:rPr>
        <w:t xml:space="preserve">CMS </w:t>
      </w:r>
      <w:r w:rsidR="007D0667" w:rsidRPr="00DF039C">
        <w:rPr>
          <w:rFonts w:ascii="Arial" w:hAnsi="Arial" w:cs="Arial"/>
          <w:sz w:val="22"/>
          <w:szCs w:val="22"/>
        </w:rPr>
        <w:t>continues their policy of</w:t>
      </w:r>
      <w:r w:rsidRPr="00DF039C">
        <w:rPr>
          <w:rFonts w:ascii="Arial" w:hAnsi="Arial" w:cs="Arial"/>
          <w:sz w:val="22"/>
          <w:szCs w:val="22"/>
        </w:rPr>
        <w:t xml:space="preserve"> setting the payment indicators for all nuclear medicine procedures (CPT codes in the range of 78000 through 78999) that are designated as radiology services that are paid separately when provided integral to a surgical procedure on the ASC list to “Z2” so that payment for these procedures will be made based on the HOPPS relative payment weight </w:t>
      </w:r>
      <w:r w:rsidR="00D37817" w:rsidRPr="00DF039C">
        <w:rPr>
          <w:rFonts w:ascii="Arial" w:hAnsi="Arial" w:cs="Arial"/>
          <w:sz w:val="22"/>
          <w:szCs w:val="22"/>
        </w:rPr>
        <w:t xml:space="preserve">and include the cost of the </w:t>
      </w:r>
      <w:r w:rsidR="00CA0B74">
        <w:rPr>
          <w:rFonts w:ascii="Arial" w:hAnsi="Arial" w:cs="Arial"/>
          <w:sz w:val="22"/>
          <w:szCs w:val="22"/>
        </w:rPr>
        <w:t xml:space="preserve">diagnostic </w:t>
      </w:r>
      <w:r w:rsidR="00D37817" w:rsidRPr="00DF039C">
        <w:rPr>
          <w:rFonts w:ascii="Arial" w:hAnsi="Arial" w:cs="Arial"/>
          <w:sz w:val="22"/>
          <w:szCs w:val="22"/>
        </w:rPr>
        <w:t>radiopharmaceutical</w:t>
      </w:r>
      <w:r w:rsidRPr="00DF039C">
        <w:rPr>
          <w:rFonts w:ascii="Arial" w:hAnsi="Arial" w:cs="Arial"/>
          <w:sz w:val="22"/>
          <w:szCs w:val="22"/>
        </w:rPr>
        <w:t xml:space="preserve">. </w:t>
      </w:r>
    </w:p>
    <w:p w14:paraId="629006CC" w14:textId="77777777" w:rsidR="005F0326" w:rsidRPr="00DF039C" w:rsidRDefault="005F0326" w:rsidP="00E44C88">
      <w:pPr>
        <w:autoSpaceDE w:val="0"/>
        <w:autoSpaceDN w:val="0"/>
        <w:adjustRightInd w:val="0"/>
        <w:jc w:val="both"/>
        <w:rPr>
          <w:rFonts w:ascii="Arial" w:hAnsi="Arial" w:cs="Arial"/>
          <w:sz w:val="22"/>
          <w:szCs w:val="22"/>
        </w:rPr>
      </w:pPr>
    </w:p>
    <w:p w14:paraId="4A61BA18" w14:textId="22CEDAB9" w:rsidR="00947762" w:rsidRDefault="005F0326" w:rsidP="00E44C88">
      <w:pPr>
        <w:autoSpaceDE w:val="0"/>
        <w:autoSpaceDN w:val="0"/>
        <w:adjustRightInd w:val="0"/>
        <w:jc w:val="both"/>
        <w:rPr>
          <w:rFonts w:ascii="Arial" w:hAnsi="Arial" w:cs="Arial"/>
          <w:sz w:val="22"/>
          <w:szCs w:val="22"/>
        </w:rPr>
      </w:pPr>
      <w:r w:rsidRPr="00DF039C">
        <w:rPr>
          <w:rFonts w:ascii="Arial" w:hAnsi="Arial" w:cs="Arial"/>
          <w:sz w:val="22"/>
          <w:szCs w:val="22"/>
        </w:rPr>
        <w:t>CMS continues their policy of setting the payment indicators for</w:t>
      </w:r>
      <w:r w:rsidR="007D0667" w:rsidRPr="00DF039C">
        <w:rPr>
          <w:rFonts w:ascii="Arial" w:hAnsi="Arial" w:cs="Arial"/>
          <w:sz w:val="22"/>
          <w:szCs w:val="22"/>
        </w:rPr>
        <w:t xml:space="preserve"> radiology procedures that use contrast agents (</w:t>
      </w:r>
      <w:r w:rsidR="009A60FE" w:rsidRPr="00DF039C">
        <w:rPr>
          <w:rFonts w:ascii="Arial" w:hAnsi="Arial" w:cs="Arial"/>
          <w:sz w:val="22"/>
          <w:szCs w:val="22"/>
        </w:rPr>
        <w:t xml:space="preserve">the contrast agent is packaged under the ASC system but is separately paid under the Medicare Physician Fee Schedule) to "Z2" </w:t>
      </w:r>
      <w:r w:rsidRPr="00DF039C">
        <w:rPr>
          <w:rFonts w:ascii="Arial" w:hAnsi="Arial" w:cs="Arial"/>
          <w:sz w:val="22"/>
          <w:szCs w:val="22"/>
        </w:rPr>
        <w:t xml:space="preserve">so that </w:t>
      </w:r>
      <w:r w:rsidR="009A60FE" w:rsidRPr="00DF039C">
        <w:rPr>
          <w:rFonts w:ascii="Arial" w:hAnsi="Arial" w:cs="Arial"/>
          <w:sz w:val="22"/>
          <w:szCs w:val="22"/>
        </w:rPr>
        <w:t>payment for these procedures will be based on the HOPPS relative weight and will include the cost of the contrast agent.</w:t>
      </w:r>
    </w:p>
    <w:p w14:paraId="0FD30BBD" w14:textId="77777777" w:rsidR="00F91AAC" w:rsidRDefault="00F91AAC" w:rsidP="00C64772">
      <w:pPr>
        <w:autoSpaceDE w:val="0"/>
        <w:autoSpaceDN w:val="0"/>
        <w:adjustRightInd w:val="0"/>
        <w:jc w:val="both"/>
        <w:rPr>
          <w:rFonts w:ascii="Arial" w:eastAsia="MS Mincho" w:hAnsi="Arial" w:cs="Arial"/>
          <w:sz w:val="22"/>
          <w:szCs w:val="22"/>
          <w:lang w:eastAsia="ja-JP"/>
        </w:rPr>
      </w:pPr>
    </w:p>
    <w:p w14:paraId="3A5CAC62" w14:textId="2BC1565E" w:rsidR="000C64D6" w:rsidRDefault="005E66EB">
      <w:pPr>
        <w:autoSpaceDE w:val="0"/>
        <w:autoSpaceDN w:val="0"/>
        <w:adjustRightInd w:val="0"/>
        <w:jc w:val="both"/>
        <w:rPr>
          <w:rFonts w:ascii="Arial" w:eastAsia="MS Mincho" w:hAnsi="Arial" w:cs="Arial"/>
          <w:sz w:val="22"/>
          <w:szCs w:val="22"/>
          <w:lang w:eastAsia="ja-JP"/>
        </w:rPr>
      </w:pPr>
      <w:r>
        <w:rPr>
          <w:rFonts w:ascii="Arial" w:eastAsia="MS Mincho" w:hAnsi="Arial" w:cs="Arial"/>
          <w:sz w:val="22"/>
          <w:szCs w:val="22"/>
          <w:lang w:eastAsia="ja-JP"/>
        </w:rPr>
        <w:t>C</w:t>
      </w:r>
      <w:r w:rsidR="00C64772" w:rsidRPr="00CA0B74">
        <w:rPr>
          <w:rFonts w:ascii="Arial" w:eastAsia="MS Mincho" w:hAnsi="Arial" w:cs="Arial"/>
          <w:sz w:val="22"/>
          <w:szCs w:val="22"/>
          <w:lang w:eastAsia="ja-JP"/>
        </w:rPr>
        <w:t>overed ancillary services and the payment indicators are listed</w:t>
      </w:r>
      <w:r w:rsidR="00C64772">
        <w:rPr>
          <w:rFonts w:ascii="Arial" w:eastAsia="MS Mincho" w:hAnsi="Arial" w:cs="Arial"/>
          <w:sz w:val="22"/>
          <w:szCs w:val="22"/>
          <w:lang w:eastAsia="ja-JP"/>
        </w:rPr>
        <w:t xml:space="preserve"> </w:t>
      </w:r>
      <w:r w:rsidR="00C64772" w:rsidRPr="00CA0B74">
        <w:rPr>
          <w:rFonts w:ascii="Arial" w:eastAsia="MS Mincho" w:hAnsi="Arial" w:cs="Arial"/>
          <w:sz w:val="22"/>
          <w:szCs w:val="22"/>
          <w:lang w:eastAsia="ja-JP"/>
        </w:rPr>
        <w:t xml:space="preserve">in Addendum BB </w:t>
      </w:r>
      <w:r w:rsidR="00CC08AA">
        <w:rPr>
          <w:rFonts w:ascii="Arial" w:eastAsia="MS Mincho" w:hAnsi="Arial" w:cs="Arial"/>
          <w:sz w:val="22"/>
          <w:szCs w:val="22"/>
          <w:lang w:eastAsia="ja-JP"/>
        </w:rPr>
        <w:t>of this</w:t>
      </w:r>
      <w:r w:rsidR="00F458D9">
        <w:rPr>
          <w:rFonts w:ascii="Arial" w:eastAsia="MS Mincho" w:hAnsi="Arial" w:cs="Arial"/>
          <w:sz w:val="22"/>
          <w:szCs w:val="22"/>
          <w:lang w:eastAsia="ja-JP"/>
        </w:rPr>
        <w:t xml:space="preserve"> </w:t>
      </w:r>
      <w:r w:rsidR="00C64772" w:rsidRPr="00CA0B74">
        <w:rPr>
          <w:rFonts w:ascii="Arial" w:eastAsia="MS Mincho" w:hAnsi="Arial" w:cs="Arial"/>
          <w:sz w:val="22"/>
          <w:szCs w:val="22"/>
          <w:lang w:eastAsia="ja-JP"/>
        </w:rPr>
        <w:t>rule</w:t>
      </w:r>
      <w:r w:rsidR="00C64772">
        <w:rPr>
          <w:rFonts w:ascii="Arial" w:eastAsia="MS Mincho" w:hAnsi="Arial" w:cs="Arial"/>
          <w:sz w:val="22"/>
          <w:szCs w:val="22"/>
          <w:lang w:eastAsia="ja-JP"/>
        </w:rPr>
        <w:t>.</w:t>
      </w:r>
    </w:p>
    <w:sectPr w:rsidR="000C64D6" w:rsidSect="000F3794">
      <w:footerReference w:type="default" r:id="rId8"/>
      <w:footerReference w:type="first" r:id="rId9"/>
      <w:type w:val="continuous"/>
      <w:pgSz w:w="12240" w:h="15840" w:code="1"/>
      <w:pgMar w:top="1080" w:right="1440" w:bottom="144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730259" w14:textId="77777777" w:rsidR="00C4791A" w:rsidRDefault="00C4791A">
      <w:r>
        <w:separator/>
      </w:r>
    </w:p>
  </w:endnote>
  <w:endnote w:type="continuationSeparator" w:id="0">
    <w:p w14:paraId="6AB6BD8F" w14:textId="77777777" w:rsidR="00C4791A" w:rsidRDefault="00C4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0" w:usb1="08070000" w:usb2="00000010"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111D9" w14:textId="5D2D2020" w:rsidR="006B30D0" w:rsidRDefault="006B30D0">
    <w:pPr>
      <w:pStyle w:val="Footer"/>
      <w:rPr>
        <w:sz w:val="18"/>
      </w:rPr>
    </w:pPr>
    <w:r>
      <w:rPr>
        <w:rFonts w:ascii="Arial" w:hAnsi="Arial" w:cs="Arial"/>
        <w:sz w:val="18"/>
      </w:rPr>
      <w:sym w:font="Symbol" w:char="F0D3"/>
    </w:r>
    <w:r>
      <w:rPr>
        <w:rFonts w:ascii="Arial" w:hAnsi="Arial" w:cs="Arial"/>
        <w:sz w:val="18"/>
      </w:rPr>
      <w:t>Copyright Health Policy Solutions</w:t>
    </w:r>
    <w:r>
      <w:rPr>
        <w:rFonts w:ascii="Arial" w:hAnsi="Arial" w:cs="Arial"/>
        <w:sz w:val="18"/>
      </w:rPr>
      <w:tab/>
    </w:r>
    <w:r>
      <w:rPr>
        <w:rStyle w:val="PageNumber"/>
        <w:rFonts w:ascii="Arial" w:hAnsi="Arial" w:cs="Arial"/>
        <w:sz w:val="18"/>
      </w:rPr>
      <w:fldChar w:fldCharType="begin"/>
    </w:r>
    <w:r>
      <w:rPr>
        <w:rStyle w:val="PageNumber"/>
        <w:rFonts w:ascii="Arial" w:hAnsi="Arial" w:cs="Arial"/>
        <w:sz w:val="18"/>
      </w:rPr>
      <w:instrText xml:space="preserve"> PAGE </w:instrText>
    </w:r>
    <w:r>
      <w:rPr>
        <w:rStyle w:val="PageNumber"/>
        <w:rFonts w:ascii="Arial" w:hAnsi="Arial" w:cs="Arial"/>
        <w:sz w:val="18"/>
      </w:rPr>
      <w:fldChar w:fldCharType="separate"/>
    </w:r>
    <w:r w:rsidR="009620DC">
      <w:rPr>
        <w:rStyle w:val="PageNumber"/>
        <w:rFonts w:ascii="Arial" w:hAnsi="Arial" w:cs="Arial"/>
        <w:noProof/>
        <w:sz w:val="18"/>
      </w:rPr>
      <w:t>2</w:t>
    </w:r>
    <w:r>
      <w:rPr>
        <w:rStyle w:val="PageNumber"/>
        <w:rFonts w:ascii="Arial" w:hAnsi="Arial" w:cs="Arial"/>
        <w:sz w:val="18"/>
      </w:rPr>
      <w:fldChar w:fldCharType="end"/>
    </w:r>
    <w:r w:rsidR="00940B89">
      <w:rPr>
        <w:rStyle w:val="PageNumber"/>
        <w:rFonts w:ascii="Arial" w:hAnsi="Arial" w:cs="Arial"/>
        <w:sz w:val="18"/>
      </w:rPr>
      <w:tab/>
    </w:r>
    <w:r w:rsidR="00480ADC">
      <w:rPr>
        <w:rStyle w:val="PageNumber"/>
        <w:rFonts w:ascii="Arial" w:hAnsi="Arial" w:cs="Arial"/>
        <w:sz w:val="18"/>
      </w:rPr>
      <w:t>11</w:t>
    </w:r>
    <w:r>
      <w:rPr>
        <w:rStyle w:val="PageNumber"/>
        <w:rFonts w:ascii="Arial" w:hAnsi="Arial" w:cs="Arial"/>
        <w:sz w:val="18"/>
      </w:rPr>
      <w:t>/</w:t>
    </w:r>
    <w:r w:rsidR="00480ADC">
      <w:rPr>
        <w:rStyle w:val="PageNumber"/>
        <w:rFonts w:ascii="Arial" w:hAnsi="Arial" w:cs="Arial"/>
        <w:sz w:val="18"/>
      </w:rPr>
      <w:t>5</w:t>
    </w:r>
    <w:r w:rsidR="00F33DA4">
      <w:rPr>
        <w:rStyle w:val="PageNumber"/>
        <w:rFonts w:ascii="Arial" w:hAnsi="Arial" w:cs="Arial"/>
        <w:sz w:val="18"/>
      </w:rPr>
      <w:t>/</w:t>
    </w:r>
    <w:r>
      <w:rPr>
        <w:rStyle w:val="PageNumber"/>
        <w:rFonts w:ascii="Arial" w:hAnsi="Arial" w:cs="Arial"/>
        <w:sz w:val="18"/>
      </w:rPr>
      <w:t>20</w:t>
    </w:r>
    <w:r w:rsidR="00DA7F9C">
      <w:rPr>
        <w:rStyle w:val="PageNumber"/>
        <w:rFonts w:ascii="Arial" w:hAnsi="Arial" w:cs="Arial"/>
        <w:sz w:val="18"/>
      </w:rPr>
      <w:t>2</w:t>
    </w:r>
    <w:r w:rsidR="00F33DA4">
      <w:rPr>
        <w:rStyle w:val="PageNumber"/>
        <w:rFonts w:ascii="Arial" w:hAnsi="Arial" w:cs="Arial"/>
        <w:sz w:val="18"/>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F99BE" w14:textId="77777777" w:rsidR="006B30D0" w:rsidRDefault="006B30D0">
    <w:pPr>
      <w:pStyle w:val="Footer"/>
      <w:rPr>
        <w:rFonts w:ascii="Arial" w:hAnsi="Arial" w:cs="Arial"/>
        <w:sz w:val="20"/>
      </w:rPr>
    </w:pPr>
  </w:p>
  <w:p w14:paraId="2299ED1C" w14:textId="5D0B31A3" w:rsidR="006B30D0" w:rsidRDefault="006B30D0">
    <w:pPr>
      <w:pStyle w:val="Footer"/>
      <w:rPr>
        <w:rFonts w:ascii="Arial" w:hAnsi="Arial" w:cs="Arial"/>
        <w:sz w:val="18"/>
      </w:rPr>
    </w:pPr>
    <w:r>
      <w:rPr>
        <w:rFonts w:ascii="Arial" w:hAnsi="Arial" w:cs="Arial"/>
        <w:sz w:val="18"/>
      </w:rPr>
      <w:sym w:font="Symbol" w:char="F0D3"/>
    </w:r>
    <w:r>
      <w:rPr>
        <w:rFonts w:ascii="Arial" w:hAnsi="Arial" w:cs="Arial"/>
        <w:sz w:val="18"/>
      </w:rPr>
      <w:t>Copyright Health Policy Solutions</w:t>
    </w:r>
    <w:r>
      <w:rPr>
        <w:rFonts w:ascii="Arial" w:hAnsi="Arial" w:cs="Arial"/>
        <w:sz w:val="18"/>
      </w:rPr>
      <w:tab/>
    </w:r>
    <w:r>
      <w:rPr>
        <w:rStyle w:val="PageNumber"/>
        <w:rFonts w:ascii="Arial" w:hAnsi="Arial" w:cs="Arial"/>
        <w:sz w:val="18"/>
      </w:rPr>
      <w:fldChar w:fldCharType="begin"/>
    </w:r>
    <w:r>
      <w:rPr>
        <w:rStyle w:val="PageNumber"/>
        <w:rFonts w:ascii="Arial" w:hAnsi="Arial" w:cs="Arial"/>
        <w:sz w:val="18"/>
      </w:rPr>
      <w:instrText xml:space="preserve"> PAGE </w:instrText>
    </w:r>
    <w:r>
      <w:rPr>
        <w:rStyle w:val="PageNumber"/>
        <w:rFonts w:ascii="Arial" w:hAnsi="Arial" w:cs="Arial"/>
        <w:sz w:val="18"/>
      </w:rPr>
      <w:fldChar w:fldCharType="separate"/>
    </w:r>
    <w:r w:rsidR="009620DC">
      <w:rPr>
        <w:rStyle w:val="PageNumber"/>
        <w:rFonts w:ascii="Arial" w:hAnsi="Arial" w:cs="Arial"/>
        <w:noProof/>
        <w:sz w:val="18"/>
      </w:rPr>
      <w:t>1</w:t>
    </w:r>
    <w:r>
      <w:rPr>
        <w:rStyle w:val="PageNumber"/>
        <w:rFonts w:ascii="Arial" w:hAnsi="Arial" w:cs="Arial"/>
        <w:sz w:val="18"/>
      </w:rPr>
      <w:fldChar w:fldCharType="end"/>
    </w:r>
    <w:r w:rsidR="00811EAC">
      <w:rPr>
        <w:rStyle w:val="PageNumber"/>
        <w:rFonts w:ascii="Arial" w:hAnsi="Arial" w:cs="Arial"/>
        <w:sz w:val="18"/>
      </w:rPr>
      <w:tab/>
    </w:r>
    <w:r w:rsidR="00480ADC">
      <w:rPr>
        <w:rStyle w:val="PageNumber"/>
        <w:rFonts w:ascii="Arial" w:hAnsi="Arial" w:cs="Arial"/>
        <w:sz w:val="18"/>
      </w:rPr>
      <w:t>11</w:t>
    </w:r>
    <w:r>
      <w:rPr>
        <w:rStyle w:val="PageNumber"/>
        <w:rFonts w:ascii="Arial" w:hAnsi="Arial" w:cs="Arial"/>
        <w:sz w:val="18"/>
      </w:rPr>
      <w:t>/</w:t>
    </w:r>
    <w:r w:rsidR="00480ADC">
      <w:rPr>
        <w:rStyle w:val="PageNumber"/>
        <w:rFonts w:ascii="Arial" w:hAnsi="Arial" w:cs="Arial"/>
        <w:sz w:val="18"/>
      </w:rPr>
      <w:t>5</w:t>
    </w:r>
    <w:r w:rsidR="00C74372">
      <w:rPr>
        <w:rStyle w:val="PageNumber"/>
        <w:rFonts w:ascii="Arial" w:hAnsi="Arial" w:cs="Arial"/>
        <w:sz w:val="18"/>
      </w:rPr>
      <w:t>/</w:t>
    </w:r>
    <w:r>
      <w:rPr>
        <w:rStyle w:val="PageNumber"/>
        <w:rFonts w:ascii="Arial" w:hAnsi="Arial" w:cs="Arial"/>
        <w:sz w:val="18"/>
      </w:rPr>
      <w:t>20</w:t>
    </w:r>
    <w:r w:rsidR="00523570">
      <w:rPr>
        <w:rStyle w:val="PageNumber"/>
        <w:rFonts w:ascii="Arial" w:hAnsi="Arial" w:cs="Arial"/>
        <w:sz w:val="18"/>
      </w:rPr>
      <w:t>2</w:t>
    </w:r>
    <w:r w:rsidR="00C74372">
      <w:rPr>
        <w:rStyle w:val="PageNumber"/>
        <w:rFonts w:ascii="Arial" w:hAnsi="Arial" w:cs="Arial"/>
        <w:sz w:val="18"/>
      </w:rPr>
      <w:t>1</w:t>
    </w:r>
  </w:p>
  <w:p w14:paraId="062A11E8" w14:textId="77777777" w:rsidR="006B30D0" w:rsidRDefault="006B30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0AF83" w14:textId="77777777" w:rsidR="00C4791A" w:rsidRDefault="00C4791A">
      <w:r>
        <w:separator/>
      </w:r>
    </w:p>
  </w:footnote>
  <w:footnote w:type="continuationSeparator" w:id="0">
    <w:p w14:paraId="6BFB0330" w14:textId="77777777" w:rsidR="00C4791A" w:rsidRDefault="00C479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02E07"/>
    <w:multiLevelType w:val="hybridMultilevel"/>
    <w:tmpl w:val="F0F6A254"/>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0660DDA"/>
    <w:multiLevelType w:val="hybridMultilevel"/>
    <w:tmpl w:val="18B09650"/>
    <w:lvl w:ilvl="0" w:tplc="984C2692">
      <w:start w:val="18"/>
      <w:numFmt w:val="upp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79A7024"/>
    <w:multiLevelType w:val="hybridMultilevel"/>
    <w:tmpl w:val="D40660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B976946"/>
    <w:multiLevelType w:val="hybridMultilevel"/>
    <w:tmpl w:val="E73A5328"/>
    <w:lvl w:ilvl="0" w:tplc="04090005">
      <w:start w:val="1"/>
      <w:numFmt w:val="bullet"/>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C86427"/>
    <w:multiLevelType w:val="hybridMultilevel"/>
    <w:tmpl w:val="D064472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28A1EE7"/>
    <w:multiLevelType w:val="hybridMultilevel"/>
    <w:tmpl w:val="92ECD654"/>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5257096"/>
    <w:multiLevelType w:val="hybridMultilevel"/>
    <w:tmpl w:val="640456C6"/>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6043831"/>
    <w:multiLevelType w:val="hybridMultilevel"/>
    <w:tmpl w:val="5DBED8E8"/>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92C5F25"/>
    <w:multiLevelType w:val="hybridMultilevel"/>
    <w:tmpl w:val="78DC1C5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9C37837"/>
    <w:multiLevelType w:val="hybridMultilevel"/>
    <w:tmpl w:val="3EBAC3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D643D9B"/>
    <w:multiLevelType w:val="hybridMultilevel"/>
    <w:tmpl w:val="30E66008"/>
    <w:lvl w:ilvl="0" w:tplc="8810480C">
      <w:start w:val="1"/>
      <w:numFmt w:val="bullet"/>
      <w:lvlText w:val=""/>
      <w:lvlJc w:val="left"/>
      <w:pPr>
        <w:tabs>
          <w:tab w:val="num" w:pos="720"/>
        </w:tabs>
        <w:ind w:left="720" w:hanging="360"/>
      </w:pPr>
      <w:rPr>
        <w:rFonts w:ascii="Symbol" w:hAnsi="Symbol" w:hint="default"/>
        <w:sz w:val="20"/>
      </w:rPr>
    </w:lvl>
    <w:lvl w:ilvl="1" w:tplc="731A34E8">
      <w:start w:val="1"/>
      <w:numFmt w:val="bullet"/>
      <w:lvlText w:val="o"/>
      <w:lvlJc w:val="left"/>
      <w:pPr>
        <w:tabs>
          <w:tab w:val="num" w:pos="1440"/>
        </w:tabs>
        <w:ind w:left="1440" w:hanging="360"/>
      </w:pPr>
      <w:rPr>
        <w:rFonts w:ascii="Courier New" w:hAnsi="Courier New" w:hint="default"/>
        <w:sz w:val="20"/>
      </w:rPr>
    </w:lvl>
    <w:lvl w:ilvl="2" w:tplc="0AEEA2A2" w:tentative="1">
      <w:start w:val="1"/>
      <w:numFmt w:val="bullet"/>
      <w:lvlText w:val=""/>
      <w:lvlJc w:val="left"/>
      <w:pPr>
        <w:tabs>
          <w:tab w:val="num" w:pos="2160"/>
        </w:tabs>
        <w:ind w:left="2160" w:hanging="360"/>
      </w:pPr>
      <w:rPr>
        <w:rFonts w:ascii="Wingdings" w:hAnsi="Wingdings" w:hint="default"/>
        <w:sz w:val="20"/>
      </w:rPr>
    </w:lvl>
    <w:lvl w:ilvl="3" w:tplc="AE7C6F14" w:tentative="1">
      <w:start w:val="1"/>
      <w:numFmt w:val="bullet"/>
      <w:lvlText w:val=""/>
      <w:lvlJc w:val="left"/>
      <w:pPr>
        <w:tabs>
          <w:tab w:val="num" w:pos="2880"/>
        </w:tabs>
        <w:ind w:left="2880" w:hanging="360"/>
      </w:pPr>
      <w:rPr>
        <w:rFonts w:ascii="Wingdings" w:hAnsi="Wingdings" w:hint="default"/>
        <w:sz w:val="20"/>
      </w:rPr>
    </w:lvl>
    <w:lvl w:ilvl="4" w:tplc="BF1663CE" w:tentative="1">
      <w:start w:val="1"/>
      <w:numFmt w:val="bullet"/>
      <w:lvlText w:val=""/>
      <w:lvlJc w:val="left"/>
      <w:pPr>
        <w:tabs>
          <w:tab w:val="num" w:pos="3600"/>
        </w:tabs>
        <w:ind w:left="3600" w:hanging="360"/>
      </w:pPr>
      <w:rPr>
        <w:rFonts w:ascii="Wingdings" w:hAnsi="Wingdings" w:hint="default"/>
        <w:sz w:val="20"/>
      </w:rPr>
    </w:lvl>
    <w:lvl w:ilvl="5" w:tplc="6D12CF18" w:tentative="1">
      <w:start w:val="1"/>
      <w:numFmt w:val="bullet"/>
      <w:lvlText w:val=""/>
      <w:lvlJc w:val="left"/>
      <w:pPr>
        <w:tabs>
          <w:tab w:val="num" w:pos="4320"/>
        </w:tabs>
        <w:ind w:left="4320" w:hanging="360"/>
      </w:pPr>
      <w:rPr>
        <w:rFonts w:ascii="Wingdings" w:hAnsi="Wingdings" w:hint="default"/>
        <w:sz w:val="20"/>
      </w:rPr>
    </w:lvl>
    <w:lvl w:ilvl="6" w:tplc="83E6B184" w:tentative="1">
      <w:start w:val="1"/>
      <w:numFmt w:val="bullet"/>
      <w:lvlText w:val=""/>
      <w:lvlJc w:val="left"/>
      <w:pPr>
        <w:tabs>
          <w:tab w:val="num" w:pos="5040"/>
        </w:tabs>
        <w:ind w:left="5040" w:hanging="360"/>
      </w:pPr>
      <w:rPr>
        <w:rFonts w:ascii="Wingdings" w:hAnsi="Wingdings" w:hint="default"/>
        <w:sz w:val="20"/>
      </w:rPr>
    </w:lvl>
    <w:lvl w:ilvl="7" w:tplc="A8684680" w:tentative="1">
      <w:start w:val="1"/>
      <w:numFmt w:val="bullet"/>
      <w:lvlText w:val=""/>
      <w:lvlJc w:val="left"/>
      <w:pPr>
        <w:tabs>
          <w:tab w:val="num" w:pos="5760"/>
        </w:tabs>
        <w:ind w:left="5760" w:hanging="360"/>
      </w:pPr>
      <w:rPr>
        <w:rFonts w:ascii="Wingdings" w:hAnsi="Wingdings" w:hint="default"/>
        <w:sz w:val="20"/>
      </w:rPr>
    </w:lvl>
    <w:lvl w:ilvl="8" w:tplc="0B7ACA9A"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A63B4A"/>
    <w:multiLevelType w:val="hybridMultilevel"/>
    <w:tmpl w:val="6896D26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592B1B3E"/>
    <w:multiLevelType w:val="hybridMultilevel"/>
    <w:tmpl w:val="9A6803C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99E3BAD"/>
    <w:multiLevelType w:val="hybridMultilevel"/>
    <w:tmpl w:val="53648F2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9FE3DCE"/>
    <w:multiLevelType w:val="hybridMultilevel"/>
    <w:tmpl w:val="70ECA00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8030AA"/>
    <w:multiLevelType w:val="hybridMultilevel"/>
    <w:tmpl w:val="58E0F98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5E2039E0"/>
    <w:multiLevelType w:val="multilevel"/>
    <w:tmpl w:val="70ECA008"/>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E842B27"/>
    <w:multiLevelType w:val="hybridMultilevel"/>
    <w:tmpl w:val="E8EC57B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15:restartNumberingAfterBreak="0">
    <w:nsid w:val="6B752FED"/>
    <w:multiLevelType w:val="hybridMultilevel"/>
    <w:tmpl w:val="A58A320C"/>
    <w:lvl w:ilvl="0" w:tplc="984C2692">
      <w:start w:val="18"/>
      <w:numFmt w:val="upp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D2E5305"/>
    <w:multiLevelType w:val="hybridMultilevel"/>
    <w:tmpl w:val="128AAEEA"/>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2F85E26"/>
    <w:multiLevelType w:val="hybridMultilevel"/>
    <w:tmpl w:val="24D4257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29046B"/>
    <w:multiLevelType w:val="hybridMultilevel"/>
    <w:tmpl w:val="3B54808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7C0B0871"/>
    <w:multiLevelType w:val="hybridMultilevel"/>
    <w:tmpl w:val="1E645F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98349F"/>
    <w:multiLevelType w:val="hybridMultilevel"/>
    <w:tmpl w:val="305808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D573DB8"/>
    <w:multiLevelType w:val="hybridMultilevel"/>
    <w:tmpl w:val="EE6EA5B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D7F472B"/>
    <w:multiLevelType w:val="hybridMultilevel"/>
    <w:tmpl w:val="21DEC33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1"/>
  </w:num>
  <w:num w:numId="3">
    <w:abstractNumId w:val="18"/>
  </w:num>
  <w:num w:numId="4">
    <w:abstractNumId w:val="5"/>
  </w:num>
  <w:num w:numId="5">
    <w:abstractNumId w:val="25"/>
  </w:num>
  <w:num w:numId="6">
    <w:abstractNumId w:val="0"/>
  </w:num>
  <w:num w:numId="7">
    <w:abstractNumId w:val="7"/>
  </w:num>
  <w:num w:numId="8">
    <w:abstractNumId w:val="19"/>
  </w:num>
  <w:num w:numId="9">
    <w:abstractNumId w:val="24"/>
  </w:num>
  <w:num w:numId="10">
    <w:abstractNumId w:val="12"/>
  </w:num>
  <w:num w:numId="11">
    <w:abstractNumId w:val="3"/>
  </w:num>
  <w:num w:numId="12">
    <w:abstractNumId w:val="15"/>
  </w:num>
  <w:num w:numId="13">
    <w:abstractNumId w:val="20"/>
  </w:num>
  <w:num w:numId="14">
    <w:abstractNumId w:val="8"/>
  </w:num>
  <w:num w:numId="15">
    <w:abstractNumId w:val="9"/>
  </w:num>
  <w:num w:numId="16">
    <w:abstractNumId w:val="4"/>
  </w:num>
  <w:num w:numId="17">
    <w:abstractNumId w:val="14"/>
  </w:num>
  <w:num w:numId="18">
    <w:abstractNumId w:val="16"/>
  </w:num>
  <w:num w:numId="19">
    <w:abstractNumId w:val="22"/>
  </w:num>
  <w:num w:numId="20">
    <w:abstractNumId w:val="23"/>
  </w:num>
  <w:num w:numId="21">
    <w:abstractNumId w:val="2"/>
  </w:num>
  <w:num w:numId="22">
    <w:abstractNumId w:val="21"/>
  </w:num>
  <w:num w:numId="23">
    <w:abstractNumId w:val="6"/>
  </w:num>
  <w:num w:numId="24">
    <w:abstractNumId w:val="13"/>
  </w:num>
  <w:num w:numId="25">
    <w:abstractNumId w:val="17"/>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CFB"/>
    <w:rsid w:val="000072E2"/>
    <w:rsid w:val="00014949"/>
    <w:rsid w:val="00015ED4"/>
    <w:rsid w:val="0003646A"/>
    <w:rsid w:val="00045984"/>
    <w:rsid w:val="000463B0"/>
    <w:rsid w:val="000500D5"/>
    <w:rsid w:val="0006152C"/>
    <w:rsid w:val="000669F7"/>
    <w:rsid w:val="00066B6A"/>
    <w:rsid w:val="00071650"/>
    <w:rsid w:val="00072869"/>
    <w:rsid w:val="00073139"/>
    <w:rsid w:val="00076C01"/>
    <w:rsid w:val="0007715C"/>
    <w:rsid w:val="00081455"/>
    <w:rsid w:val="0009203E"/>
    <w:rsid w:val="0009233E"/>
    <w:rsid w:val="000A0CDD"/>
    <w:rsid w:val="000A0E6F"/>
    <w:rsid w:val="000A60F6"/>
    <w:rsid w:val="000B12C7"/>
    <w:rsid w:val="000B3635"/>
    <w:rsid w:val="000B45EB"/>
    <w:rsid w:val="000B4A6F"/>
    <w:rsid w:val="000B5F0D"/>
    <w:rsid w:val="000B6D5A"/>
    <w:rsid w:val="000C20A3"/>
    <w:rsid w:val="000C64D6"/>
    <w:rsid w:val="000D0B33"/>
    <w:rsid w:val="000D2AA5"/>
    <w:rsid w:val="000E073D"/>
    <w:rsid w:val="000E40F0"/>
    <w:rsid w:val="000E7F48"/>
    <w:rsid w:val="000F3794"/>
    <w:rsid w:val="00101060"/>
    <w:rsid w:val="00105DB4"/>
    <w:rsid w:val="0011225E"/>
    <w:rsid w:val="00126607"/>
    <w:rsid w:val="00131D23"/>
    <w:rsid w:val="00137364"/>
    <w:rsid w:val="00140490"/>
    <w:rsid w:val="0014146B"/>
    <w:rsid w:val="001526E4"/>
    <w:rsid w:val="00156B93"/>
    <w:rsid w:val="00175D95"/>
    <w:rsid w:val="00190DA1"/>
    <w:rsid w:val="00193E57"/>
    <w:rsid w:val="001A2E26"/>
    <w:rsid w:val="001A460A"/>
    <w:rsid w:val="001B338D"/>
    <w:rsid w:val="001D5A3B"/>
    <w:rsid w:val="001D7BA7"/>
    <w:rsid w:val="001E0EF3"/>
    <w:rsid w:val="001E2355"/>
    <w:rsid w:val="001E5E0E"/>
    <w:rsid w:val="001F12FC"/>
    <w:rsid w:val="001F2A74"/>
    <w:rsid w:val="001F6114"/>
    <w:rsid w:val="00202566"/>
    <w:rsid w:val="00207F17"/>
    <w:rsid w:val="00210F67"/>
    <w:rsid w:val="002111FD"/>
    <w:rsid w:val="00214DD2"/>
    <w:rsid w:val="00215C66"/>
    <w:rsid w:val="00216C35"/>
    <w:rsid w:val="00220AAD"/>
    <w:rsid w:val="00224F3F"/>
    <w:rsid w:val="0023591D"/>
    <w:rsid w:val="00250174"/>
    <w:rsid w:val="00260D5B"/>
    <w:rsid w:val="0026116C"/>
    <w:rsid w:val="00262482"/>
    <w:rsid w:val="002640F0"/>
    <w:rsid w:val="00272754"/>
    <w:rsid w:val="0028234E"/>
    <w:rsid w:val="00285609"/>
    <w:rsid w:val="00285632"/>
    <w:rsid w:val="00296693"/>
    <w:rsid w:val="002A3991"/>
    <w:rsid w:val="002B32C4"/>
    <w:rsid w:val="002B4CA2"/>
    <w:rsid w:val="002B61EC"/>
    <w:rsid w:val="002B73C3"/>
    <w:rsid w:val="002C65EF"/>
    <w:rsid w:val="002D0AFF"/>
    <w:rsid w:val="002D0C15"/>
    <w:rsid w:val="002D1CC8"/>
    <w:rsid w:val="002D65B8"/>
    <w:rsid w:val="002D6D71"/>
    <w:rsid w:val="002F0C8F"/>
    <w:rsid w:val="002F0EF6"/>
    <w:rsid w:val="002F231B"/>
    <w:rsid w:val="00305A35"/>
    <w:rsid w:val="00310059"/>
    <w:rsid w:val="003412F6"/>
    <w:rsid w:val="0034464F"/>
    <w:rsid w:val="00345360"/>
    <w:rsid w:val="00350C20"/>
    <w:rsid w:val="003534E1"/>
    <w:rsid w:val="0035636C"/>
    <w:rsid w:val="00356E6C"/>
    <w:rsid w:val="00357070"/>
    <w:rsid w:val="00357E1B"/>
    <w:rsid w:val="00361851"/>
    <w:rsid w:val="00362FBC"/>
    <w:rsid w:val="00370754"/>
    <w:rsid w:val="00376ED5"/>
    <w:rsid w:val="00384479"/>
    <w:rsid w:val="00384746"/>
    <w:rsid w:val="00390C13"/>
    <w:rsid w:val="00392E15"/>
    <w:rsid w:val="003B4133"/>
    <w:rsid w:val="003C2F7D"/>
    <w:rsid w:val="003D6F02"/>
    <w:rsid w:val="003E070F"/>
    <w:rsid w:val="003E14E3"/>
    <w:rsid w:val="003E6A99"/>
    <w:rsid w:val="003E707B"/>
    <w:rsid w:val="003F1F86"/>
    <w:rsid w:val="00407EBB"/>
    <w:rsid w:val="0041047F"/>
    <w:rsid w:val="0041592C"/>
    <w:rsid w:val="00415E20"/>
    <w:rsid w:val="0041705E"/>
    <w:rsid w:val="00424758"/>
    <w:rsid w:val="00427C1C"/>
    <w:rsid w:val="00436059"/>
    <w:rsid w:val="00437BA7"/>
    <w:rsid w:val="00440783"/>
    <w:rsid w:val="00454DA1"/>
    <w:rsid w:val="00460AEE"/>
    <w:rsid w:val="00460B12"/>
    <w:rsid w:val="0046547B"/>
    <w:rsid w:val="004718AD"/>
    <w:rsid w:val="004718FC"/>
    <w:rsid w:val="00475714"/>
    <w:rsid w:val="004772DB"/>
    <w:rsid w:val="00480449"/>
    <w:rsid w:val="00480ADC"/>
    <w:rsid w:val="004863D2"/>
    <w:rsid w:val="004865D5"/>
    <w:rsid w:val="00492523"/>
    <w:rsid w:val="004A5E75"/>
    <w:rsid w:val="004A6F28"/>
    <w:rsid w:val="004B2CDF"/>
    <w:rsid w:val="004B3562"/>
    <w:rsid w:val="004B5B76"/>
    <w:rsid w:val="004D0E9C"/>
    <w:rsid w:val="004D4388"/>
    <w:rsid w:val="004D5ED3"/>
    <w:rsid w:val="004E59B1"/>
    <w:rsid w:val="004E60BD"/>
    <w:rsid w:val="004F1297"/>
    <w:rsid w:val="004F55A9"/>
    <w:rsid w:val="00503101"/>
    <w:rsid w:val="00507BF7"/>
    <w:rsid w:val="00514590"/>
    <w:rsid w:val="00514B2F"/>
    <w:rsid w:val="00515138"/>
    <w:rsid w:val="00520AC3"/>
    <w:rsid w:val="0052278E"/>
    <w:rsid w:val="00523031"/>
    <w:rsid w:val="00523570"/>
    <w:rsid w:val="00524CB8"/>
    <w:rsid w:val="00532142"/>
    <w:rsid w:val="00535982"/>
    <w:rsid w:val="0054097C"/>
    <w:rsid w:val="00541C1A"/>
    <w:rsid w:val="00546BB8"/>
    <w:rsid w:val="0055744C"/>
    <w:rsid w:val="005614E1"/>
    <w:rsid w:val="00571EF0"/>
    <w:rsid w:val="00586F41"/>
    <w:rsid w:val="0059008A"/>
    <w:rsid w:val="005A0CBD"/>
    <w:rsid w:val="005A1290"/>
    <w:rsid w:val="005A3C8F"/>
    <w:rsid w:val="005A52C9"/>
    <w:rsid w:val="005A6ED8"/>
    <w:rsid w:val="005A7B8D"/>
    <w:rsid w:val="005B009D"/>
    <w:rsid w:val="005B524A"/>
    <w:rsid w:val="005C2020"/>
    <w:rsid w:val="005C5715"/>
    <w:rsid w:val="005C7154"/>
    <w:rsid w:val="005C7F2B"/>
    <w:rsid w:val="005D1266"/>
    <w:rsid w:val="005E092C"/>
    <w:rsid w:val="005E2CFB"/>
    <w:rsid w:val="005E3AD1"/>
    <w:rsid w:val="005E4DD7"/>
    <w:rsid w:val="005E5CEB"/>
    <w:rsid w:val="005E66EB"/>
    <w:rsid w:val="005F0326"/>
    <w:rsid w:val="005F07CD"/>
    <w:rsid w:val="005F2F2A"/>
    <w:rsid w:val="00600381"/>
    <w:rsid w:val="006022B2"/>
    <w:rsid w:val="00610156"/>
    <w:rsid w:val="006139A7"/>
    <w:rsid w:val="00615913"/>
    <w:rsid w:val="00615E61"/>
    <w:rsid w:val="0062315B"/>
    <w:rsid w:val="00640008"/>
    <w:rsid w:val="00641CA5"/>
    <w:rsid w:val="00642887"/>
    <w:rsid w:val="00642CED"/>
    <w:rsid w:val="00642D46"/>
    <w:rsid w:val="00644E5C"/>
    <w:rsid w:val="006462B4"/>
    <w:rsid w:val="0065720E"/>
    <w:rsid w:val="0065788D"/>
    <w:rsid w:val="006620ED"/>
    <w:rsid w:val="00663D3B"/>
    <w:rsid w:val="00673ADF"/>
    <w:rsid w:val="00677D9F"/>
    <w:rsid w:val="006814ED"/>
    <w:rsid w:val="00684A12"/>
    <w:rsid w:val="00690435"/>
    <w:rsid w:val="006909CC"/>
    <w:rsid w:val="00692F53"/>
    <w:rsid w:val="00693512"/>
    <w:rsid w:val="006A0752"/>
    <w:rsid w:val="006A52E0"/>
    <w:rsid w:val="006B30D0"/>
    <w:rsid w:val="006B44CF"/>
    <w:rsid w:val="006B4EC4"/>
    <w:rsid w:val="006C296A"/>
    <w:rsid w:val="006C56C7"/>
    <w:rsid w:val="006D0777"/>
    <w:rsid w:val="006D3359"/>
    <w:rsid w:val="006D4D84"/>
    <w:rsid w:val="006D7953"/>
    <w:rsid w:val="006E026B"/>
    <w:rsid w:val="006E22BC"/>
    <w:rsid w:val="006F5D75"/>
    <w:rsid w:val="00705F18"/>
    <w:rsid w:val="00707CFB"/>
    <w:rsid w:val="00711DE7"/>
    <w:rsid w:val="0071661D"/>
    <w:rsid w:val="00717989"/>
    <w:rsid w:val="00720A64"/>
    <w:rsid w:val="00721644"/>
    <w:rsid w:val="00725BED"/>
    <w:rsid w:val="00730735"/>
    <w:rsid w:val="007307C2"/>
    <w:rsid w:val="0073187C"/>
    <w:rsid w:val="007331ED"/>
    <w:rsid w:val="00737168"/>
    <w:rsid w:val="00737BA5"/>
    <w:rsid w:val="00737BC9"/>
    <w:rsid w:val="007411F1"/>
    <w:rsid w:val="00741D91"/>
    <w:rsid w:val="00743B9C"/>
    <w:rsid w:val="0075096E"/>
    <w:rsid w:val="00756380"/>
    <w:rsid w:val="00756B8C"/>
    <w:rsid w:val="007604BC"/>
    <w:rsid w:val="007604FC"/>
    <w:rsid w:val="00762806"/>
    <w:rsid w:val="0076293C"/>
    <w:rsid w:val="00765150"/>
    <w:rsid w:val="00765777"/>
    <w:rsid w:val="00772156"/>
    <w:rsid w:val="0078571B"/>
    <w:rsid w:val="007904A9"/>
    <w:rsid w:val="00791863"/>
    <w:rsid w:val="007A5C04"/>
    <w:rsid w:val="007A6923"/>
    <w:rsid w:val="007B4F85"/>
    <w:rsid w:val="007C0068"/>
    <w:rsid w:val="007D0486"/>
    <w:rsid w:val="007D0667"/>
    <w:rsid w:val="007D4515"/>
    <w:rsid w:val="007E382B"/>
    <w:rsid w:val="007F17F3"/>
    <w:rsid w:val="007F1FBF"/>
    <w:rsid w:val="007F2AFD"/>
    <w:rsid w:val="007F37B8"/>
    <w:rsid w:val="007F5F3B"/>
    <w:rsid w:val="00807B44"/>
    <w:rsid w:val="00811EAC"/>
    <w:rsid w:val="00814D2B"/>
    <w:rsid w:val="00831637"/>
    <w:rsid w:val="00835A81"/>
    <w:rsid w:val="0083631C"/>
    <w:rsid w:val="0084221C"/>
    <w:rsid w:val="0084335B"/>
    <w:rsid w:val="008550C1"/>
    <w:rsid w:val="00862F3B"/>
    <w:rsid w:val="0087033D"/>
    <w:rsid w:val="00870DE8"/>
    <w:rsid w:val="00871C51"/>
    <w:rsid w:val="00872060"/>
    <w:rsid w:val="00875ED0"/>
    <w:rsid w:val="00876831"/>
    <w:rsid w:val="008828C9"/>
    <w:rsid w:val="00883D9A"/>
    <w:rsid w:val="00884C73"/>
    <w:rsid w:val="00885986"/>
    <w:rsid w:val="0089619E"/>
    <w:rsid w:val="008A5683"/>
    <w:rsid w:val="008A5A07"/>
    <w:rsid w:val="008A695B"/>
    <w:rsid w:val="008A7730"/>
    <w:rsid w:val="008B2E88"/>
    <w:rsid w:val="008D2D98"/>
    <w:rsid w:val="008D569E"/>
    <w:rsid w:val="008D6FF7"/>
    <w:rsid w:val="008F12B1"/>
    <w:rsid w:val="008F720D"/>
    <w:rsid w:val="00900C41"/>
    <w:rsid w:val="00906B62"/>
    <w:rsid w:val="0091385A"/>
    <w:rsid w:val="00926F8F"/>
    <w:rsid w:val="00933CCB"/>
    <w:rsid w:val="00935C8F"/>
    <w:rsid w:val="00940B89"/>
    <w:rsid w:val="009451DF"/>
    <w:rsid w:val="00947762"/>
    <w:rsid w:val="009620DC"/>
    <w:rsid w:val="0097793B"/>
    <w:rsid w:val="00982594"/>
    <w:rsid w:val="00982FB0"/>
    <w:rsid w:val="00985A5D"/>
    <w:rsid w:val="009965E3"/>
    <w:rsid w:val="009A05D1"/>
    <w:rsid w:val="009A60FE"/>
    <w:rsid w:val="009B2F53"/>
    <w:rsid w:val="009B43D0"/>
    <w:rsid w:val="009C1413"/>
    <w:rsid w:val="009C197A"/>
    <w:rsid w:val="009C1C03"/>
    <w:rsid w:val="009C2679"/>
    <w:rsid w:val="009D27A6"/>
    <w:rsid w:val="009E22EC"/>
    <w:rsid w:val="009E6C73"/>
    <w:rsid w:val="009E74CE"/>
    <w:rsid w:val="009F291C"/>
    <w:rsid w:val="009F44B0"/>
    <w:rsid w:val="009F50F6"/>
    <w:rsid w:val="00A026BD"/>
    <w:rsid w:val="00A12A5F"/>
    <w:rsid w:val="00A12F8F"/>
    <w:rsid w:val="00A17B9D"/>
    <w:rsid w:val="00A22ADB"/>
    <w:rsid w:val="00A23412"/>
    <w:rsid w:val="00A24463"/>
    <w:rsid w:val="00A2511D"/>
    <w:rsid w:val="00A257A8"/>
    <w:rsid w:val="00A25B7F"/>
    <w:rsid w:val="00A25FBE"/>
    <w:rsid w:val="00A30479"/>
    <w:rsid w:val="00A30779"/>
    <w:rsid w:val="00A32127"/>
    <w:rsid w:val="00A40E96"/>
    <w:rsid w:val="00A55352"/>
    <w:rsid w:val="00A55C03"/>
    <w:rsid w:val="00A56092"/>
    <w:rsid w:val="00A66D84"/>
    <w:rsid w:val="00A83341"/>
    <w:rsid w:val="00A8548B"/>
    <w:rsid w:val="00A92BC6"/>
    <w:rsid w:val="00AB06CB"/>
    <w:rsid w:val="00AC1289"/>
    <w:rsid w:val="00AC245B"/>
    <w:rsid w:val="00AC38C1"/>
    <w:rsid w:val="00AC4576"/>
    <w:rsid w:val="00AE16CB"/>
    <w:rsid w:val="00AF5A6A"/>
    <w:rsid w:val="00AF68A7"/>
    <w:rsid w:val="00B05DF8"/>
    <w:rsid w:val="00B10899"/>
    <w:rsid w:val="00B11115"/>
    <w:rsid w:val="00B13011"/>
    <w:rsid w:val="00B2327D"/>
    <w:rsid w:val="00B25824"/>
    <w:rsid w:val="00B26BC3"/>
    <w:rsid w:val="00B307F6"/>
    <w:rsid w:val="00B35001"/>
    <w:rsid w:val="00B353A6"/>
    <w:rsid w:val="00B40F4D"/>
    <w:rsid w:val="00B4164C"/>
    <w:rsid w:val="00B42717"/>
    <w:rsid w:val="00B44F39"/>
    <w:rsid w:val="00B53DCF"/>
    <w:rsid w:val="00B5447A"/>
    <w:rsid w:val="00B54A02"/>
    <w:rsid w:val="00B55327"/>
    <w:rsid w:val="00B605A5"/>
    <w:rsid w:val="00B60788"/>
    <w:rsid w:val="00B65488"/>
    <w:rsid w:val="00B74470"/>
    <w:rsid w:val="00B76ABC"/>
    <w:rsid w:val="00B8275A"/>
    <w:rsid w:val="00B86612"/>
    <w:rsid w:val="00B87E97"/>
    <w:rsid w:val="00B940A4"/>
    <w:rsid w:val="00BA4953"/>
    <w:rsid w:val="00BB20C2"/>
    <w:rsid w:val="00BB5282"/>
    <w:rsid w:val="00BB5CDC"/>
    <w:rsid w:val="00BB72D6"/>
    <w:rsid w:val="00BD497A"/>
    <w:rsid w:val="00BD67B5"/>
    <w:rsid w:val="00BD707B"/>
    <w:rsid w:val="00BE00F6"/>
    <w:rsid w:val="00BE0861"/>
    <w:rsid w:val="00BE47A0"/>
    <w:rsid w:val="00BF0C2E"/>
    <w:rsid w:val="00BF10E3"/>
    <w:rsid w:val="00BF1C81"/>
    <w:rsid w:val="00C001DC"/>
    <w:rsid w:val="00C00634"/>
    <w:rsid w:val="00C0111F"/>
    <w:rsid w:val="00C025FD"/>
    <w:rsid w:val="00C056C0"/>
    <w:rsid w:val="00C07F48"/>
    <w:rsid w:val="00C25BA1"/>
    <w:rsid w:val="00C30874"/>
    <w:rsid w:val="00C41FA5"/>
    <w:rsid w:val="00C450CE"/>
    <w:rsid w:val="00C4791A"/>
    <w:rsid w:val="00C52593"/>
    <w:rsid w:val="00C625C5"/>
    <w:rsid w:val="00C634E5"/>
    <w:rsid w:val="00C64772"/>
    <w:rsid w:val="00C65EEC"/>
    <w:rsid w:val="00C6682F"/>
    <w:rsid w:val="00C71496"/>
    <w:rsid w:val="00C724C3"/>
    <w:rsid w:val="00C74372"/>
    <w:rsid w:val="00C7713C"/>
    <w:rsid w:val="00C8118C"/>
    <w:rsid w:val="00C83AE9"/>
    <w:rsid w:val="00C84C56"/>
    <w:rsid w:val="00C84CA5"/>
    <w:rsid w:val="00C87612"/>
    <w:rsid w:val="00C9601C"/>
    <w:rsid w:val="00CA0B74"/>
    <w:rsid w:val="00CA149C"/>
    <w:rsid w:val="00CB2E52"/>
    <w:rsid w:val="00CB4520"/>
    <w:rsid w:val="00CB57F4"/>
    <w:rsid w:val="00CB7D14"/>
    <w:rsid w:val="00CC08AA"/>
    <w:rsid w:val="00CD3125"/>
    <w:rsid w:val="00CD3FB2"/>
    <w:rsid w:val="00CD435F"/>
    <w:rsid w:val="00D00E38"/>
    <w:rsid w:val="00D03FF6"/>
    <w:rsid w:val="00D1494E"/>
    <w:rsid w:val="00D14D25"/>
    <w:rsid w:val="00D16C1A"/>
    <w:rsid w:val="00D17025"/>
    <w:rsid w:val="00D213F5"/>
    <w:rsid w:val="00D228BB"/>
    <w:rsid w:val="00D26173"/>
    <w:rsid w:val="00D31EA8"/>
    <w:rsid w:val="00D37817"/>
    <w:rsid w:val="00D53A6F"/>
    <w:rsid w:val="00D56EF8"/>
    <w:rsid w:val="00D674A8"/>
    <w:rsid w:val="00D70494"/>
    <w:rsid w:val="00D84B7D"/>
    <w:rsid w:val="00D926E0"/>
    <w:rsid w:val="00D92FAF"/>
    <w:rsid w:val="00D947EF"/>
    <w:rsid w:val="00D9786E"/>
    <w:rsid w:val="00DA6DEB"/>
    <w:rsid w:val="00DA7F9C"/>
    <w:rsid w:val="00DD7621"/>
    <w:rsid w:val="00DE04DF"/>
    <w:rsid w:val="00DE34FB"/>
    <w:rsid w:val="00DE583C"/>
    <w:rsid w:val="00DE71A8"/>
    <w:rsid w:val="00DF039C"/>
    <w:rsid w:val="00DF091E"/>
    <w:rsid w:val="00DF12E4"/>
    <w:rsid w:val="00E02CDF"/>
    <w:rsid w:val="00E25A73"/>
    <w:rsid w:val="00E2787C"/>
    <w:rsid w:val="00E31D08"/>
    <w:rsid w:val="00E44C88"/>
    <w:rsid w:val="00E56A78"/>
    <w:rsid w:val="00E6503A"/>
    <w:rsid w:val="00E67836"/>
    <w:rsid w:val="00E863F7"/>
    <w:rsid w:val="00E8757C"/>
    <w:rsid w:val="00E90E48"/>
    <w:rsid w:val="00E921ED"/>
    <w:rsid w:val="00E93E3A"/>
    <w:rsid w:val="00E94D32"/>
    <w:rsid w:val="00E97C80"/>
    <w:rsid w:val="00EB2699"/>
    <w:rsid w:val="00ED4F73"/>
    <w:rsid w:val="00EF25F5"/>
    <w:rsid w:val="00F0765A"/>
    <w:rsid w:val="00F13A79"/>
    <w:rsid w:val="00F16605"/>
    <w:rsid w:val="00F267F6"/>
    <w:rsid w:val="00F33DA4"/>
    <w:rsid w:val="00F37506"/>
    <w:rsid w:val="00F37833"/>
    <w:rsid w:val="00F458D9"/>
    <w:rsid w:val="00F5490E"/>
    <w:rsid w:val="00F5765D"/>
    <w:rsid w:val="00F61B2C"/>
    <w:rsid w:val="00F675E7"/>
    <w:rsid w:val="00F6776E"/>
    <w:rsid w:val="00F71D65"/>
    <w:rsid w:val="00F76082"/>
    <w:rsid w:val="00F81525"/>
    <w:rsid w:val="00F83AAC"/>
    <w:rsid w:val="00F91AAC"/>
    <w:rsid w:val="00FA0370"/>
    <w:rsid w:val="00FA0CFD"/>
    <w:rsid w:val="00FC0CA7"/>
    <w:rsid w:val="00FC11B0"/>
    <w:rsid w:val="00FD4C98"/>
    <w:rsid w:val="00FD6666"/>
    <w:rsid w:val="00FE3741"/>
    <w:rsid w:val="00FE6775"/>
    <w:rsid w:val="00FF3410"/>
    <w:rsid w:val="00FF5A65"/>
    <w:rsid w:val="00FF7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6D4A340D"/>
  <w15:chartTrackingRefBased/>
  <w15:docId w15:val="{04236AEA-0727-434D-8D3D-A17E57024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outlineLvl w:val="0"/>
    </w:pPr>
    <w:rPr>
      <w:rFonts w:ascii="Arial" w:hAnsi="Arial" w:cs="Arial"/>
      <w:b/>
      <w:bCs/>
      <w:sz w:val="22"/>
    </w:rPr>
  </w:style>
  <w:style w:type="paragraph" w:styleId="Heading2">
    <w:name w:val="heading 2"/>
    <w:basedOn w:val="Normal"/>
    <w:next w:val="Normal"/>
    <w:qFormat/>
    <w:pPr>
      <w:autoSpaceDE w:val="0"/>
      <w:autoSpaceDN w:val="0"/>
      <w:adjustRightInd w:val="0"/>
      <w:ind w:left="270" w:hanging="270"/>
      <w:outlineLvl w:val="1"/>
    </w:pPr>
    <w:rPr>
      <w:rFonts w:ascii="Arial" w:hAnsi="Arial" w:cs="Arial"/>
      <w:b/>
      <w:bCs/>
      <w:sz w:val="32"/>
      <w:szCs w:val="32"/>
      <w14:shadow w14:blurRad="50800" w14:dist="38100" w14:dir="2700000" w14:sx="100000" w14:sy="100000" w14:kx="0" w14:ky="0" w14:algn="tl">
        <w14:srgbClr w14:val="000000">
          <w14:alpha w14:val="60000"/>
        </w14:srgbClr>
      </w14:shadow>
    </w:rPr>
  </w:style>
  <w:style w:type="paragraph" w:styleId="Heading3">
    <w:name w:val="heading 3"/>
    <w:basedOn w:val="Normal"/>
    <w:next w:val="Normal"/>
    <w:qFormat/>
    <w:pPr>
      <w:keepNext/>
      <w:outlineLvl w:val="2"/>
    </w:pPr>
    <w:rPr>
      <w:rFonts w:ascii="Arial" w:hAnsi="Arial" w:cs="Arial"/>
      <w:sz w:val="22"/>
      <w:u w:val="single"/>
    </w:rPr>
  </w:style>
  <w:style w:type="paragraph" w:styleId="Heading4">
    <w:name w:val="heading 4"/>
    <w:basedOn w:val="Normal"/>
    <w:next w:val="Normal"/>
    <w:qFormat/>
    <w:pPr>
      <w:keepNext/>
      <w:outlineLvl w:val="3"/>
    </w:pPr>
    <w:rPr>
      <w:rFonts w:ascii="Arial" w:hAnsi="Arial" w:cs="Arial"/>
      <w:b/>
      <w:bCs/>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rPr>
  </w:style>
  <w:style w:type="paragraph" w:styleId="Subtitle">
    <w:name w:val="Subtitle"/>
    <w:basedOn w:val="Normal"/>
    <w:qFormat/>
    <w:pPr>
      <w:jc w:val="center"/>
    </w:pPr>
    <w:rPr>
      <w:rFonts w:ascii="Arial" w:hAnsi="Arial" w:cs="Arial"/>
      <w:b/>
      <w:bCs/>
      <w:sz w:val="22"/>
      <w:u w:val="single"/>
    </w:rPr>
  </w:style>
  <w:style w:type="paragraph" w:styleId="NormalWeb">
    <w:name w:val="Normal (Web)"/>
    <w:basedOn w:val="Normal"/>
    <w:pPr>
      <w:spacing w:before="100" w:beforeAutospacing="1" w:after="100" w:afterAutospacing="1"/>
    </w:pPr>
    <w:rPr>
      <w:rFonts w:ascii="Arial Unicode MS" w:eastAsia="Arial Unicode MS" w:hAnsi="Arial Unicode MS" w:cs="Arial Unicode MS"/>
    </w:rPr>
  </w:style>
  <w:style w:type="paragraph" w:styleId="BodyTextIndent">
    <w:name w:val="Body Text Indent"/>
    <w:basedOn w:val="Normal"/>
    <w:pPr>
      <w:ind w:left="720"/>
    </w:pPr>
    <w:rPr>
      <w:rFonts w:ascii="Arial" w:hAnsi="Arial" w:cs="Arial"/>
      <w:sz w:val="22"/>
    </w:rPr>
  </w:style>
  <w:style w:type="paragraph" w:styleId="BodyText">
    <w:name w:val="Body Text"/>
    <w:basedOn w:val="Normal"/>
    <w:rPr>
      <w:rFonts w:ascii="Arial" w:hAnsi="Arial" w:cs="Arial"/>
      <w:b/>
      <w:bCs/>
      <w:sz w:val="22"/>
    </w:rPr>
  </w:style>
  <w:style w:type="paragraph" w:styleId="BodyText2">
    <w:name w:val="Body Text 2"/>
    <w:basedOn w:val="Normal"/>
    <w:link w:val="BodyText2Char"/>
    <w:rPr>
      <w:rFonts w:ascii="Arial" w:hAnsi="Arial" w:cs="Arial"/>
      <w:sz w:val="22"/>
    </w:rPr>
  </w:style>
  <w:style w:type="paragraph" w:styleId="BodyTextIndent2">
    <w:name w:val="Body Text Indent 2"/>
    <w:basedOn w:val="Normal"/>
    <w:pPr>
      <w:ind w:left="720"/>
    </w:pPr>
    <w:rPr>
      <w:rFonts w:ascii="Arial" w:hAnsi="Arial" w:cs="Arial"/>
      <w:b/>
      <w:bCs/>
      <w:sz w:val="22"/>
    </w:rPr>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3">
    <w:name w:val="Body Text 3"/>
    <w:basedOn w:val="Normal"/>
    <w:rPr>
      <w:rFonts w:ascii="Arial" w:hAnsi="Arial" w:cs="Arial"/>
      <w:color w:val="000000"/>
      <w:sz w:val="22"/>
    </w:rPr>
  </w:style>
  <w:style w:type="paragraph" w:customStyle="1" w:styleId="CM3">
    <w:name w:val="CM3"/>
    <w:basedOn w:val="Normal"/>
    <w:next w:val="Normal"/>
    <w:pPr>
      <w:widowControl w:val="0"/>
      <w:autoSpaceDE w:val="0"/>
      <w:autoSpaceDN w:val="0"/>
      <w:adjustRightInd w:val="0"/>
      <w:spacing w:line="553" w:lineRule="atLeast"/>
    </w:pPr>
  </w:style>
  <w:style w:type="paragraph" w:customStyle="1" w:styleId="CM5">
    <w:name w:val="CM5"/>
    <w:basedOn w:val="Normal"/>
    <w:next w:val="Normal"/>
    <w:pPr>
      <w:widowControl w:val="0"/>
      <w:autoSpaceDE w:val="0"/>
      <w:autoSpaceDN w:val="0"/>
      <w:adjustRightInd w:val="0"/>
    </w:pPr>
  </w:style>
  <w:style w:type="paragraph" w:customStyle="1" w:styleId="CM55">
    <w:name w:val="CM55"/>
    <w:basedOn w:val="Normal"/>
    <w:next w:val="Normal"/>
    <w:pPr>
      <w:widowControl w:val="0"/>
      <w:autoSpaceDE w:val="0"/>
      <w:autoSpaceDN w:val="0"/>
      <w:adjustRightInd w:val="0"/>
      <w:spacing w:after="552"/>
    </w:pPr>
  </w:style>
  <w:style w:type="paragraph" w:customStyle="1" w:styleId="CM54">
    <w:name w:val="CM54"/>
    <w:basedOn w:val="Normal"/>
    <w:next w:val="Normal"/>
    <w:pPr>
      <w:widowControl w:val="0"/>
      <w:autoSpaceDE w:val="0"/>
      <w:autoSpaceDN w:val="0"/>
      <w:adjustRightInd w:val="0"/>
      <w:spacing w:after="268"/>
    </w:pPr>
  </w:style>
  <w:style w:type="paragraph" w:customStyle="1" w:styleId="CM24">
    <w:name w:val="CM24"/>
    <w:basedOn w:val="Normal"/>
    <w:next w:val="Normal"/>
    <w:pPr>
      <w:widowControl w:val="0"/>
      <w:autoSpaceDE w:val="0"/>
      <w:autoSpaceDN w:val="0"/>
      <w:adjustRightInd w:val="0"/>
      <w:spacing w:line="553" w:lineRule="atLeast"/>
    </w:pPr>
  </w:style>
  <w:style w:type="paragraph" w:customStyle="1" w:styleId="CM53">
    <w:name w:val="CM53"/>
    <w:basedOn w:val="Normal"/>
    <w:next w:val="Normal"/>
    <w:pPr>
      <w:widowControl w:val="0"/>
      <w:autoSpaceDE w:val="0"/>
      <w:autoSpaceDN w:val="0"/>
      <w:adjustRightInd w:val="0"/>
      <w:spacing w:after="180"/>
    </w:pPr>
  </w:style>
  <w:style w:type="paragraph" w:customStyle="1" w:styleId="CM23">
    <w:name w:val="CM23"/>
    <w:basedOn w:val="Normal"/>
    <w:next w:val="Normal"/>
    <w:pPr>
      <w:widowControl w:val="0"/>
      <w:autoSpaceDE w:val="0"/>
      <w:autoSpaceDN w:val="0"/>
      <w:adjustRightInd w:val="0"/>
      <w:spacing w:line="553" w:lineRule="atLeast"/>
    </w:pPr>
  </w:style>
  <w:style w:type="paragraph" w:customStyle="1" w:styleId="normal1">
    <w:name w:val="normal1"/>
    <w:basedOn w:val="Normal"/>
    <w:rPr>
      <w:rFonts w:eastAsia="Arial Unicode MS"/>
    </w:rPr>
  </w:style>
  <w:style w:type="paragraph" w:customStyle="1" w:styleId="CM1">
    <w:name w:val="CM1"/>
    <w:basedOn w:val="Normal"/>
    <w:next w:val="Normal"/>
    <w:pPr>
      <w:widowControl w:val="0"/>
      <w:autoSpaceDE w:val="0"/>
      <w:autoSpaceDN w:val="0"/>
      <w:adjustRightInd w:val="0"/>
      <w:spacing w:line="553" w:lineRule="atLeast"/>
    </w:pPr>
  </w:style>
  <w:style w:type="paragraph" w:customStyle="1" w:styleId="CM14">
    <w:name w:val="CM14"/>
    <w:basedOn w:val="Normal"/>
    <w:next w:val="Normal"/>
    <w:pPr>
      <w:widowControl w:val="0"/>
      <w:autoSpaceDE w:val="0"/>
      <w:autoSpaceDN w:val="0"/>
      <w:adjustRightInd w:val="0"/>
      <w:spacing w:line="553" w:lineRule="atLeast"/>
    </w:pPr>
  </w:style>
  <w:style w:type="paragraph" w:customStyle="1" w:styleId="CM18">
    <w:name w:val="CM18"/>
    <w:basedOn w:val="Normal"/>
    <w:next w:val="Normal"/>
    <w:pPr>
      <w:widowControl w:val="0"/>
      <w:autoSpaceDE w:val="0"/>
      <w:autoSpaceDN w:val="0"/>
      <w:adjustRightInd w:val="0"/>
      <w:spacing w:line="553" w:lineRule="atLeast"/>
    </w:pPr>
  </w:style>
  <w:style w:type="paragraph" w:customStyle="1" w:styleId="CM29">
    <w:name w:val="CM29"/>
    <w:basedOn w:val="Normal"/>
    <w:next w:val="Normal"/>
    <w:pPr>
      <w:widowControl w:val="0"/>
      <w:autoSpaceDE w:val="0"/>
      <w:autoSpaceDN w:val="0"/>
      <w:adjustRightInd w:val="0"/>
      <w:spacing w:after="270"/>
    </w:pPr>
  </w:style>
  <w:style w:type="paragraph" w:customStyle="1" w:styleId="CM4">
    <w:name w:val="CM4"/>
    <w:basedOn w:val="Normal"/>
    <w:next w:val="Normal"/>
    <w:pPr>
      <w:widowControl w:val="0"/>
      <w:autoSpaceDE w:val="0"/>
      <w:autoSpaceDN w:val="0"/>
      <w:adjustRightInd w:val="0"/>
      <w:spacing w:line="553" w:lineRule="atLeast"/>
    </w:pPr>
  </w:style>
  <w:style w:type="paragraph" w:customStyle="1" w:styleId="CM7">
    <w:name w:val="CM7"/>
    <w:basedOn w:val="Normal"/>
    <w:next w:val="Normal"/>
    <w:pPr>
      <w:widowControl w:val="0"/>
      <w:autoSpaceDE w:val="0"/>
      <w:autoSpaceDN w:val="0"/>
      <w:adjustRightInd w:val="0"/>
      <w:spacing w:line="553" w:lineRule="atLeast"/>
    </w:pPr>
  </w:style>
  <w:style w:type="paragraph" w:customStyle="1" w:styleId="Default">
    <w:name w:val="Default"/>
    <w:pPr>
      <w:widowControl w:val="0"/>
      <w:autoSpaceDE w:val="0"/>
      <w:autoSpaceDN w:val="0"/>
      <w:adjustRightInd w:val="0"/>
    </w:pPr>
    <w:rPr>
      <w:color w:val="000000"/>
      <w:sz w:val="24"/>
      <w:szCs w:val="24"/>
    </w:rPr>
  </w:style>
  <w:style w:type="paragraph" w:styleId="BalloonText">
    <w:name w:val="Balloon Text"/>
    <w:basedOn w:val="Normal"/>
    <w:semiHidden/>
    <w:rsid w:val="00B87E97"/>
    <w:rPr>
      <w:rFonts w:ascii="Tahoma" w:hAnsi="Tahoma" w:cs="Tahoma"/>
      <w:sz w:val="16"/>
      <w:szCs w:val="16"/>
    </w:rPr>
  </w:style>
  <w:style w:type="table" w:styleId="TableGrid">
    <w:name w:val="Table Grid"/>
    <w:basedOn w:val="TableNormal"/>
    <w:rsid w:val="00CB7D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Char">
    <w:name w:val="Body Text 2 Char"/>
    <w:basedOn w:val="DefaultParagraphFont"/>
    <w:link w:val="BodyText2"/>
    <w:rsid w:val="0073187C"/>
    <w:rPr>
      <w:rFonts w:ascii="Arial" w:hAnsi="Arial" w:cs="Arial"/>
      <w:sz w:val="22"/>
      <w:szCs w:val="24"/>
    </w:rPr>
  </w:style>
  <w:style w:type="paragraph" w:styleId="ListParagraph">
    <w:name w:val="List Paragraph"/>
    <w:basedOn w:val="Normal"/>
    <w:uiPriority w:val="34"/>
    <w:qFormat/>
    <w:rsid w:val="006909CC"/>
    <w:pPr>
      <w:ind w:left="720"/>
      <w:contextualSpacing/>
    </w:pPr>
  </w:style>
  <w:style w:type="character" w:customStyle="1" w:styleId="HeaderChar">
    <w:name w:val="Header Char"/>
    <w:basedOn w:val="DefaultParagraphFont"/>
    <w:link w:val="Header"/>
    <w:rsid w:val="002D0C1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903657">
      <w:bodyDiv w:val="1"/>
      <w:marLeft w:val="0"/>
      <w:marRight w:val="0"/>
      <w:marTop w:val="0"/>
      <w:marBottom w:val="0"/>
      <w:divBdr>
        <w:top w:val="none" w:sz="0" w:space="0" w:color="auto"/>
        <w:left w:val="none" w:sz="0" w:space="0" w:color="auto"/>
        <w:bottom w:val="none" w:sz="0" w:space="0" w:color="auto"/>
        <w:right w:val="none" w:sz="0" w:space="0" w:color="auto"/>
      </w:divBdr>
    </w:div>
    <w:div w:id="470750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42A25-F5F1-4525-9937-B200F63AA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7</Pages>
  <Words>3256</Words>
  <Characters>18563</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AMBULATORY SURGICAL CENTER (ASC)</vt:lpstr>
    </vt:vector>
  </TitlesOfParts>
  <Company>Home</Company>
  <LinksUpToDate>false</LinksUpToDate>
  <CharactersWithSpaces>21776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AMBULATORY SURGICAL CENTER (ASC)</dc:title>
  <dc:subject/>
  <dc:creator>Wendy Smith</dc:creator>
  <cp:keywords/>
  <dc:description/>
  <cp:lastModifiedBy>Wendy Smith</cp:lastModifiedBy>
  <cp:revision>6</cp:revision>
  <cp:lastPrinted>2021-11-05T21:23:00Z</cp:lastPrinted>
  <dcterms:created xsi:type="dcterms:W3CDTF">2021-11-05T20:15:00Z</dcterms:created>
  <dcterms:modified xsi:type="dcterms:W3CDTF">2021-11-05T21:53:00Z</dcterms:modified>
</cp:coreProperties>
</file>